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DB26B" w14:textId="0809F280" w:rsidR="00A92D3E" w:rsidRPr="005546F2" w:rsidRDefault="007203C0" w:rsidP="00A92D3E">
      <w:pPr>
        <w:rPr>
          <w:rFonts w:eastAsia="Times New Roman"/>
          <w:bCs/>
          <w:sz w:val="48"/>
          <w:szCs w:val="48"/>
          <w:lang w:eastAsia="en-GB"/>
        </w:rPr>
      </w:pPr>
      <w:bookmarkStart w:id="0" w:name="_GoBack"/>
      <w:bookmarkEnd w:id="0"/>
      <w:r>
        <w:rPr>
          <w:rFonts w:eastAsia="Times New Roman"/>
          <w:bCs/>
          <w:sz w:val="48"/>
          <w:szCs w:val="48"/>
          <w:lang w:eastAsia="en-GB"/>
        </w:rPr>
        <w:t>Investment System Analyst</w:t>
      </w:r>
    </w:p>
    <w:p w14:paraId="3FEF1FE8" w14:textId="70A0CBD8" w:rsidR="005546F2" w:rsidRPr="00EE2ADA" w:rsidRDefault="007203C0" w:rsidP="00A92D3E">
      <w:pPr>
        <w:pStyle w:val="NHGBODY"/>
        <w:rPr>
          <w:rFonts w:eastAsia="MS Mincho" w:cs="Times New Roman"/>
          <w:spacing w:val="0"/>
          <w:sz w:val="48"/>
          <w:szCs w:val="48"/>
        </w:rPr>
      </w:pPr>
      <w:r>
        <w:rPr>
          <w:rFonts w:eastAsia="MS Mincho" w:cs="Times New Roman"/>
          <w:spacing w:val="0"/>
          <w:sz w:val="48"/>
          <w:szCs w:val="48"/>
        </w:rPr>
        <w:t>Finance</w:t>
      </w:r>
      <w:r w:rsidR="0090526B">
        <w:rPr>
          <w:rFonts w:eastAsia="MS Mincho" w:cs="Times New Roman"/>
          <w:spacing w:val="0"/>
          <w:sz w:val="48"/>
          <w:szCs w:val="48"/>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86"/>
        <w:gridCol w:w="795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7203C0">
        <w:trPr>
          <w:tblCellSpacing w:w="20" w:type="dxa"/>
        </w:trPr>
        <w:tc>
          <w:tcPr>
            <w:tcW w:w="1166"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6" w:type="pct"/>
            <w:shd w:val="clear" w:color="auto" w:fill="auto"/>
          </w:tcPr>
          <w:p w14:paraId="48E84A34" w14:textId="77777777" w:rsidR="007203C0" w:rsidRPr="003523FA" w:rsidRDefault="007203C0" w:rsidP="007203C0">
            <w:pPr>
              <w:spacing w:after="60"/>
              <w:rPr>
                <w:rFonts w:cs="Arial"/>
              </w:rPr>
            </w:pPr>
            <w:r w:rsidRPr="003523FA">
              <w:rPr>
                <w:rFonts w:cs="Arial"/>
              </w:rPr>
              <w:t>To maintain the systems to be used for the appraisal of the Group development schemes with the aim of enhancing the system performance.</w:t>
            </w:r>
          </w:p>
          <w:p w14:paraId="12739784" w14:textId="77777777" w:rsidR="007203C0" w:rsidRPr="003523FA" w:rsidRDefault="007203C0" w:rsidP="007203C0">
            <w:pPr>
              <w:spacing w:after="60"/>
              <w:rPr>
                <w:rFonts w:cs="Arial"/>
              </w:rPr>
            </w:pPr>
            <w:r w:rsidRPr="003523FA">
              <w:rPr>
                <w:rFonts w:cs="Arial"/>
              </w:rPr>
              <w:t>Liaise with the Head of Appraisal, in the viability assessment of the development projects and to advise on the financial viability of such projects.</w:t>
            </w:r>
          </w:p>
          <w:p w14:paraId="778868A2" w14:textId="77777777" w:rsidR="007203C0" w:rsidRPr="003523FA" w:rsidRDefault="007203C0" w:rsidP="007203C0">
            <w:pPr>
              <w:spacing w:after="60"/>
              <w:rPr>
                <w:rFonts w:cs="Arial"/>
              </w:rPr>
            </w:pPr>
            <w:r w:rsidRPr="003523FA">
              <w:rPr>
                <w:rFonts w:cs="Arial"/>
              </w:rPr>
              <w:t xml:space="preserve">Provide support in the Building Safety management accounts </w:t>
            </w:r>
          </w:p>
          <w:p w14:paraId="681D1C41" w14:textId="6C8B371F" w:rsidR="003C6B88" w:rsidRPr="003523FA" w:rsidRDefault="003C6B88" w:rsidP="003F5381">
            <w:pPr>
              <w:spacing w:before="100" w:beforeAutospacing="1" w:after="100" w:afterAutospacing="1"/>
              <w:rPr>
                <w:rFonts w:cs="Arial"/>
                <w:sz w:val="22"/>
                <w:szCs w:val="22"/>
              </w:rPr>
            </w:pPr>
          </w:p>
        </w:tc>
      </w:tr>
      <w:tr w:rsidR="00AB4FF3" w:rsidRPr="00383310" w14:paraId="23C61DBD" w14:textId="77777777" w:rsidTr="007203C0">
        <w:trPr>
          <w:tblCellSpacing w:w="20" w:type="dxa"/>
        </w:trPr>
        <w:tc>
          <w:tcPr>
            <w:tcW w:w="1166"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6" w:type="pct"/>
            <w:shd w:val="clear" w:color="auto" w:fill="auto"/>
          </w:tcPr>
          <w:p w14:paraId="0F2E9350" w14:textId="77777777" w:rsidR="007203C0" w:rsidRPr="00264120" w:rsidRDefault="007203C0" w:rsidP="007203C0">
            <w:pPr>
              <w:numPr>
                <w:ilvl w:val="0"/>
                <w:numId w:val="1"/>
              </w:numPr>
              <w:spacing w:after="60"/>
              <w:rPr>
                <w:rFonts w:cs="Arial"/>
              </w:rPr>
            </w:pPr>
            <w:r>
              <w:rPr>
                <w:rFonts w:cs="Arial"/>
              </w:rPr>
              <w:t>Continuous enhancement of Pamwin reporting and performance</w:t>
            </w:r>
          </w:p>
          <w:p w14:paraId="08D615E5" w14:textId="77777777" w:rsidR="007203C0" w:rsidRPr="00264120" w:rsidRDefault="007203C0" w:rsidP="007203C0">
            <w:pPr>
              <w:numPr>
                <w:ilvl w:val="0"/>
                <w:numId w:val="1"/>
              </w:numPr>
              <w:spacing w:after="60"/>
              <w:rPr>
                <w:rFonts w:cs="Arial"/>
              </w:rPr>
            </w:pPr>
            <w:r>
              <w:rPr>
                <w:rFonts w:cs="Arial"/>
              </w:rPr>
              <w:t>Support to the Development and Regeneration, Building Safety and Finance colleagues on Pamwin system administration and training</w:t>
            </w:r>
          </w:p>
          <w:p w14:paraId="18129DA7" w14:textId="77777777" w:rsidR="007203C0" w:rsidRDefault="007203C0" w:rsidP="007203C0">
            <w:pPr>
              <w:numPr>
                <w:ilvl w:val="0"/>
                <w:numId w:val="1"/>
              </w:numPr>
              <w:spacing w:after="60"/>
              <w:rPr>
                <w:rFonts w:cs="Arial"/>
              </w:rPr>
            </w:pPr>
            <w:r>
              <w:rPr>
                <w:rFonts w:cs="Arial"/>
              </w:rPr>
              <w:t>Support the Head of Appraisal in the continuous review of schemes viability</w:t>
            </w:r>
          </w:p>
          <w:p w14:paraId="5F92F4CC" w14:textId="1D36D0A2" w:rsidR="00AB4FF3" w:rsidRPr="007203C0" w:rsidRDefault="007203C0" w:rsidP="007203C0">
            <w:pPr>
              <w:pStyle w:val="ListParagraph"/>
              <w:numPr>
                <w:ilvl w:val="0"/>
                <w:numId w:val="1"/>
              </w:numPr>
              <w:spacing w:before="100" w:beforeAutospacing="1" w:after="100" w:afterAutospacing="1"/>
              <w:rPr>
                <w:rFonts w:cstheme="minorHAnsi"/>
                <w:color w:val="808080" w:themeColor="background1" w:themeShade="80"/>
                <w:sz w:val="22"/>
                <w:szCs w:val="22"/>
              </w:rPr>
            </w:pPr>
            <w:r w:rsidRPr="003523FA">
              <w:rPr>
                <w:rFonts w:cs="Arial"/>
              </w:rPr>
              <w:t>Support the Buildings Safety finance team during month end process</w:t>
            </w:r>
          </w:p>
        </w:tc>
      </w:tr>
      <w:tr w:rsidR="007203C0" w:rsidRPr="00383310" w14:paraId="2DA408A9" w14:textId="77777777" w:rsidTr="007203C0">
        <w:trPr>
          <w:tblCellSpacing w:w="20" w:type="dxa"/>
        </w:trPr>
        <w:tc>
          <w:tcPr>
            <w:tcW w:w="1166" w:type="pct"/>
            <w:shd w:val="clear" w:color="auto" w:fill="auto"/>
          </w:tcPr>
          <w:p w14:paraId="026F9728" w14:textId="77777777" w:rsidR="007203C0" w:rsidRPr="00383310" w:rsidRDefault="007203C0" w:rsidP="007203C0">
            <w:pPr>
              <w:spacing w:after="60"/>
              <w:rPr>
                <w:rFonts w:cs="Arial"/>
                <w:b/>
                <w:sz w:val="22"/>
                <w:szCs w:val="22"/>
              </w:rPr>
            </w:pPr>
            <w:r w:rsidRPr="00383310">
              <w:rPr>
                <w:rFonts w:cs="Arial"/>
                <w:b/>
                <w:sz w:val="22"/>
                <w:szCs w:val="22"/>
              </w:rPr>
              <w:t>Reports to</w:t>
            </w:r>
          </w:p>
        </w:tc>
        <w:tc>
          <w:tcPr>
            <w:tcW w:w="3776" w:type="pct"/>
            <w:shd w:val="clear" w:color="auto" w:fill="auto"/>
          </w:tcPr>
          <w:p w14:paraId="0E06958D" w14:textId="59C402A2" w:rsidR="007203C0" w:rsidRPr="008C6DEC" w:rsidRDefault="007203C0" w:rsidP="007203C0">
            <w:pPr>
              <w:spacing w:before="100" w:beforeAutospacing="1" w:after="100" w:afterAutospacing="1"/>
              <w:rPr>
                <w:rFonts w:cstheme="minorHAnsi"/>
                <w:color w:val="808080" w:themeColor="background1" w:themeShade="80"/>
                <w:sz w:val="22"/>
                <w:szCs w:val="22"/>
              </w:rPr>
            </w:pPr>
            <w:r>
              <w:rPr>
                <w:rFonts w:cs="Arial"/>
              </w:rPr>
              <w:t>Head of Appraisal</w:t>
            </w:r>
          </w:p>
        </w:tc>
      </w:tr>
      <w:tr w:rsidR="007203C0" w:rsidRPr="00383310" w14:paraId="189A9A15" w14:textId="77777777" w:rsidTr="007203C0">
        <w:trPr>
          <w:tblCellSpacing w:w="20" w:type="dxa"/>
        </w:trPr>
        <w:tc>
          <w:tcPr>
            <w:tcW w:w="1166" w:type="pct"/>
            <w:shd w:val="clear" w:color="auto" w:fill="auto"/>
          </w:tcPr>
          <w:p w14:paraId="08ECFBFD" w14:textId="77777777" w:rsidR="007203C0" w:rsidRPr="00383310" w:rsidRDefault="007203C0" w:rsidP="007203C0">
            <w:pPr>
              <w:spacing w:after="60"/>
              <w:rPr>
                <w:rFonts w:cs="Arial"/>
                <w:b/>
                <w:sz w:val="22"/>
                <w:szCs w:val="22"/>
              </w:rPr>
            </w:pPr>
            <w:r w:rsidRPr="00383310">
              <w:rPr>
                <w:rFonts w:cs="Arial"/>
                <w:b/>
                <w:sz w:val="22"/>
                <w:szCs w:val="22"/>
              </w:rPr>
              <w:t>Line management</w:t>
            </w:r>
          </w:p>
        </w:tc>
        <w:tc>
          <w:tcPr>
            <w:tcW w:w="3776" w:type="pct"/>
            <w:shd w:val="clear" w:color="auto" w:fill="auto"/>
          </w:tcPr>
          <w:p w14:paraId="79324554" w14:textId="4FA5DB97" w:rsidR="007203C0" w:rsidRPr="008C6DEC" w:rsidRDefault="007203C0" w:rsidP="007203C0">
            <w:pPr>
              <w:spacing w:before="100" w:beforeAutospacing="1" w:after="100" w:afterAutospacing="1"/>
              <w:rPr>
                <w:rFonts w:cstheme="minorHAnsi"/>
                <w:color w:val="808080" w:themeColor="background1" w:themeShade="80"/>
                <w:sz w:val="22"/>
                <w:szCs w:val="22"/>
              </w:rPr>
            </w:pPr>
            <w:r>
              <w:rPr>
                <w:rFonts w:cs="Arial"/>
              </w:rPr>
              <w:t>None</w:t>
            </w:r>
          </w:p>
        </w:tc>
      </w:tr>
      <w:tr w:rsidR="007203C0" w:rsidRPr="00383310" w14:paraId="1EC6D99B" w14:textId="77777777" w:rsidTr="007203C0">
        <w:trPr>
          <w:tblCellSpacing w:w="20" w:type="dxa"/>
        </w:trPr>
        <w:tc>
          <w:tcPr>
            <w:tcW w:w="1166" w:type="pct"/>
            <w:shd w:val="clear" w:color="auto" w:fill="auto"/>
          </w:tcPr>
          <w:p w14:paraId="476C7030" w14:textId="680C9BF0" w:rsidR="007203C0" w:rsidRPr="00383310" w:rsidRDefault="007203C0" w:rsidP="007203C0">
            <w:pPr>
              <w:spacing w:after="60"/>
              <w:rPr>
                <w:rFonts w:cs="Arial"/>
                <w:b/>
                <w:sz w:val="22"/>
                <w:szCs w:val="22"/>
              </w:rPr>
            </w:pPr>
            <w:r>
              <w:rPr>
                <w:rFonts w:cs="Arial"/>
                <w:b/>
                <w:sz w:val="22"/>
                <w:szCs w:val="22"/>
              </w:rPr>
              <w:t xml:space="preserve">Tier </w:t>
            </w:r>
          </w:p>
        </w:tc>
        <w:tc>
          <w:tcPr>
            <w:tcW w:w="3776" w:type="pct"/>
            <w:shd w:val="clear" w:color="auto" w:fill="auto"/>
          </w:tcPr>
          <w:p w14:paraId="2618C193" w14:textId="1A9B9A7C" w:rsidR="007203C0" w:rsidRPr="003523FA" w:rsidRDefault="0034108E" w:rsidP="007203C0">
            <w:pPr>
              <w:spacing w:before="100" w:beforeAutospacing="1" w:after="100" w:afterAutospacing="1"/>
              <w:rPr>
                <w:rFonts w:cstheme="minorHAnsi"/>
                <w:sz w:val="22"/>
                <w:szCs w:val="22"/>
              </w:rPr>
            </w:pPr>
            <w:r w:rsidRPr="003523FA">
              <w:rPr>
                <w:rFonts w:cstheme="minorHAnsi"/>
                <w:sz w:val="22"/>
                <w:szCs w:val="22"/>
              </w:rPr>
              <w:t xml:space="preserve">Tier </w:t>
            </w:r>
            <w:r w:rsidR="00FB2DD7" w:rsidRPr="003523FA">
              <w:rPr>
                <w:rFonts w:cstheme="minorHAnsi"/>
                <w:sz w:val="22"/>
                <w:szCs w:val="22"/>
              </w:rPr>
              <w:t>7</w:t>
            </w:r>
          </w:p>
        </w:tc>
      </w:tr>
      <w:tr w:rsidR="007203C0" w:rsidRPr="00383310" w14:paraId="3D647FA1" w14:textId="77777777" w:rsidTr="007203C0">
        <w:trPr>
          <w:trHeight w:val="70"/>
          <w:tblCellSpacing w:w="20" w:type="dxa"/>
        </w:trPr>
        <w:tc>
          <w:tcPr>
            <w:tcW w:w="1166" w:type="pct"/>
            <w:shd w:val="clear" w:color="auto" w:fill="auto"/>
          </w:tcPr>
          <w:p w14:paraId="3297AD5F" w14:textId="26FA3694" w:rsidR="007203C0" w:rsidRPr="00383310" w:rsidRDefault="007203C0" w:rsidP="007203C0">
            <w:pPr>
              <w:spacing w:after="60"/>
              <w:rPr>
                <w:rFonts w:cs="Arial"/>
                <w:b/>
                <w:sz w:val="22"/>
                <w:szCs w:val="22"/>
              </w:rPr>
            </w:pPr>
            <w:r>
              <w:rPr>
                <w:rFonts w:cs="Arial"/>
                <w:b/>
                <w:sz w:val="22"/>
                <w:szCs w:val="22"/>
              </w:rPr>
              <w:t>Expectation Level</w:t>
            </w:r>
          </w:p>
        </w:tc>
        <w:tc>
          <w:tcPr>
            <w:tcW w:w="3776" w:type="pct"/>
            <w:shd w:val="clear" w:color="auto" w:fill="auto"/>
          </w:tcPr>
          <w:p w14:paraId="7FE2DDD0" w14:textId="3EEF4F51" w:rsidR="007203C0" w:rsidRPr="003523FA" w:rsidRDefault="003523FA" w:rsidP="007203C0">
            <w:pPr>
              <w:spacing w:before="100" w:beforeAutospacing="1" w:after="100" w:afterAutospacing="1"/>
              <w:rPr>
                <w:rFonts w:cstheme="minorHAnsi"/>
                <w:sz w:val="22"/>
                <w:szCs w:val="22"/>
              </w:rPr>
            </w:pPr>
            <w:r w:rsidRPr="003523FA">
              <w:rPr>
                <w:rFonts w:cstheme="minorHAnsi"/>
                <w:sz w:val="22"/>
                <w:szCs w:val="22"/>
              </w:rPr>
              <w:t>Colleague</w:t>
            </w:r>
          </w:p>
        </w:tc>
      </w:tr>
      <w:tr w:rsidR="007203C0"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7203C0" w:rsidRPr="002871E4" w:rsidRDefault="007203C0" w:rsidP="007203C0">
            <w:pPr>
              <w:spacing w:after="60"/>
              <w:rPr>
                <w:rFonts w:cs="Arial"/>
                <w:b/>
                <w:color w:val="FF0000"/>
              </w:rPr>
            </w:pPr>
            <w:r w:rsidRPr="002871E4">
              <w:rPr>
                <w:rFonts w:cs="Arial"/>
                <w:b/>
                <w:color w:val="FFFFFF" w:themeColor="background1"/>
              </w:rPr>
              <w:t xml:space="preserve">Role relationships </w:t>
            </w:r>
          </w:p>
        </w:tc>
      </w:tr>
      <w:tr w:rsidR="007203C0" w:rsidRPr="00383310" w14:paraId="163900CC" w14:textId="77777777" w:rsidTr="007203C0">
        <w:trPr>
          <w:trHeight w:val="45"/>
          <w:tblCellSpacing w:w="20" w:type="dxa"/>
        </w:trPr>
        <w:tc>
          <w:tcPr>
            <w:tcW w:w="1166" w:type="pct"/>
            <w:shd w:val="clear" w:color="auto" w:fill="auto"/>
          </w:tcPr>
          <w:p w14:paraId="0A5187A7" w14:textId="77777777" w:rsidR="007203C0" w:rsidRPr="00297B5C" w:rsidRDefault="007203C0" w:rsidP="007203C0">
            <w:pPr>
              <w:pStyle w:val="NoSpacing"/>
              <w:spacing w:after="60"/>
              <w:rPr>
                <w:rFonts w:ascii="Arial" w:hAnsi="Arial" w:cs="Arial"/>
                <w:b/>
                <w:bCs/>
              </w:rPr>
            </w:pPr>
            <w:r w:rsidRPr="00297B5C">
              <w:rPr>
                <w:rFonts w:ascii="Arial" w:hAnsi="Arial" w:cs="Arial"/>
                <w:b/>
                <w:bCs/>
              </w:rPr>
              <w:t>Internal</w:t>
            </w:r>
          </w:p>
        </w:tc>
        <w:tc>
          <w:tcPr>
            <w:tcW w:w="3776" w:type="pct"/>
            <w:shd w:val="clear" w:color="auto" w:fill="auto"/>
          </w:tcPr>
          <w:p w14:paraId="609A89BE" w14:textId="77777777" w:rsidR="007203C0" w:rsidRPr="00264120" w:rsidRDefault="007203C0" w:rsidP="007203C0">
            <w:pPr>
              <w:pStyle w:val="NoSpacing"/>
              <w:spacing w:after="60"/>
              <w:rPr>
                <w:rFonts w:ascii="Arial" w:hAnsi="Arial" w:cs="Arial"/>
              </w:rPr>
            </w:pPr>
            <w:r w:rsidRPr="00264120">
              <w:rPr>
                <w:rFonts w:ascii="Arial" w:hAnsi="Arial" w:cs="Arial"/>
              </w:rPr>
              <w:t xml:space="preserve">Development &amp; </w:t>
            </w:r>
            <w:r>
              <w:rPr>
                <w:rFonts w:ascii="Arial" w:hAnsi="Arial" w:cs="Arial"/>
              </w:rPr>
              <w:t xml:space="preserve">Sales </w:t>
            </w:r>
            <w:r w:rsidRPr="00264120">
              <w:rPr>
                <w:rFonts w:ascii="Arial" w:hAnsi="Arial" w:cs="Arial"/>
              </w:rPr>
              <w:t>Team</w:t>
            </w:r>
          </w:p>
          <w:p w14:paraId="23A33589" w14:textId="77777777" w:rsidR="007203C0" w:rsidRPr="00264120" w:rsidRDefault="007203C0" w:rsidP="007203C0">
            <w:pPr>
              <w:pStyle w:val="NoSpacing"/>
              <w:spacing w:after="60"/>
              <w:rPr>
                <w:rFonts w:ascii="Arial" w:hAnsi="Arial" w:cs="Arial"/>
              </w:rPr>
            </w:pPr>
            <w:r>
              <w:rPr>
                <w:rFonts w:ascii="Arial" w:hAnsi="Arial" w:cs="Arial"/>
              </w:rPr>
              <w:t>Building Safety Team</w:t>
            </w:r>
          </w:p>
          <w:p w14:paraId="7444D78D" w14:textId="77777777" w:rsidR="007203C0" w:rsidRDefault="007203C0" w:rsidP="007203C0">
            <w:pPr>
              <w:pStyle w:val="NoSpacing"/>
              <w:spacing w:after="60"/>
              <w:rPr>
                <w:rFonts w:ascii="Arial" w:hAnsi="Arial" w:cs="Arial"/>
              </w:rPr>
            </w:pPr>
            <w:r>
              <w:rPr>
                <w:rFonts w:ascii="Arial" w:hAnsi="Arial" w:cs="Arial"/>
              </w:rPr>
              <w:t>Financial Planning and o</w:t>
            </w:r>
            <w:r w:rsidRPr="00264120">
              <w:rPr>
                <w:rFonts w:ascii="Arial" w:hAnsi="Arial" w:cs="Arial"/>
              </w:rPr>
              <w:t>ther Finance Colleagues</w:t>
            </w:r>
          </w:p>
          <w:p w14:paraId="74CDCCDC" w14:textId="3A01DB3F" w:rsidR="007203C0" w:rsidRPr="007203C0" w:rsidRDefault="007203C0" w:rsidP="007203C0">
            <w:pPr>
              <w:pStyle w:val="NoSpacing"/>
              <w:spacing w:after="60"/>
              <w:rPr>
                <w:rFonts w:ascii="Arial" w:hAnsi="Arial" w:cs="Arial"/>
              </w:rPr>
            </w:pPr>
            <w:r w:rsidRPr="00264120">
              <w:rPr>
                <w:rFonts w:ascii="Arial" w:hAnsi="Arial" w:cs="Arial"/>
              </w:rPr>
              <w:t>IT Team</w:t>
            </w:r>
          </w:p>
        </w:tc>
      </w:tr>
      <w:tr w:rsidR="007203C0" w:rsidRPr="00383310" w14:paraId="0EC135CE" w14:textId="77777777" w:rsidTr="007203C0">
        <w:trPr>
          <w:trHeight w:val="45"/>
          <w:tblCellSpacing w:w="20" w:type="dxa"/>
        </w:trPr>
        <w:tc>
          <w:tcPr>
            <w:tcW w:w="1166" w:type="pct"/>
            <w:shd w:val="clear" w:color="auto" w:fill="auto"/>
          </w:tcPr>
          <w:p w14:paraId="23E042BD" w14:textId="77777777" w:rsidR="007203C0" w:rsidRPr="00297B5C" w:rsidRDefault="007203C0" w:rsidP="007203C0">
            <w:pPr>
              <w:pStyle w:val="NoSpacing"/>
              <w:spacing w:after="60"/>
              <w:rPr>
                <w:rFonts w:ascii="Arial" w:hAnsi="Arial" w:cs="Arial"/>
                <w:b/>
                <w:bCs/>
              </w:rPr>
            </w:pPr>
            <w:r w:rsidRPr="00297B5C">
              <w:rPr>
                <w:rFonts w:ascii="Arial" w:hAnsi="Arial" w:cs="Arial"/>
                <w:b/>
                <w:bCs/>
              </w:rPr>
              <w:t>External</w:t>
            </w:r>
          </w:p>
        </w:tc>
        <w:tc>
          <w:tcPr>
            <w:tcW w:w="3776" w:type="pct"/>
            <w:shd w:val="clear" w:color="auto" w:fill="auto"/>
          </w:tcPr>
          <w:p w14:paraId="1720DA1E" w14:textId="77777777" w:rsidR="007203C0" w:rsidRPr="00264120" w:rsidRDefault="007203C0" w:rsidP="007203C0">
            <w:pPr>
              <w:pStyle w:val="NoSpacing"/>
              <w:spacing w:after="60"/>
              <w:rPr>
                <w:rFonts w:ascii="Arial" w:hAnsi="Arial" w:cs="Arial"/>
              </w:rPr>
            </w:pPr>
            <w:r w:rsidRPr="00264120">
              <w:rPr>
                <w:rFonts w:ascii="Arial" w:hAnsi="Arial" w:cs="Arial"/>
              </w:rPr>
              <w:t>Tax advisors</w:t>
            </w:r>
          </w:p>
          <w:p w14:paraId="4E7C0B5F" w14:textId="77777777" w:rsidR="007203C0" w:rsidRDefault="007203C0" w:rsidP="007203C0">
            <w:pPr>
              <w:pStyle w:val="NoSpacing"/>
              <w:spacing w:after="60"/>
              <w:rPr>
                <w:rFonts w:ascii="Arial" w:hAnsi="Arial" w:cs="Arial"/>
              </w:rPr>
            </w:pPr>
            <w:r w:rsidRPr="00264120">
              <w:rPr>
                <w:rFonts w:ascii="Arial" w:hAnsi="Arial" w:cs="Arial"/>
              </w:rPr>
              <w:t>Auditors</w:t>
            </w:r>
          </w:p>
          <w:p w14:paraId="6D6D2213" w14:textId="4ADE5552" w:rsidR="007203C0" w:rsidRPr="007203C0" w:rsidRDefault="007203C0" w:rsidP="007203C0">
            <w:pPr>
              <w:pStyle w:val="NoSpacing"/>
              <w:spacing w:after="60"/>
              <w:rPr>
                <w:rFonts w:ascii="Arial" w:hAnsi="Arial" w:cs="Arial"/>
              </w:rPr>
            </w:pPr>
            <w:r w:rsidRPr="00264120">
              <w:rPr>
                <w:rFonts w:ascii="Arial" w:hAnsi="Arial" w:cs="Arial"/>
              </w:rPr>
              <w:t>Appraisal Software Providers</w:t>
            </w:r>
          </w:p>
        </w:tc>
      </w:tr>
    </w:tbl>
    <w:p w14:paraId="025C77DD" w14:textId="77777777" w:rsidR="00297B5C" w:rsidRDefault="00297B5C" w:rsidP="00A92D3E"/>
    <w:p w14:paraId="1D200C4C" w14:textId="77777777" w:rsidR="00297B5C" w:rsidRPr="00383310"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007203C0">
        <w:trPr>
          <w:trHeight w:val="25"/>
          <w:tblHeader/>
          <w:tblCellSpacing w:w="20" w:type="dxa"/>
        </w:trPr>
        <w:tc>
          <w:tcPr>
            <w:tcW w:w="4962"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lastRenderedPageBreak/>
              <w:t xml:space="preserve">Role </w:t>
            </w:r>
            <w:r w:rsidRPr="006831C9">
              <w:rPr>
                <w:rFonts w:cs="Arial"/>
                <w:b/>
                <w:color w:val="F2F2F2" w:themeColor="background1" w:themeShade="F2"/>
              </w:rPr>
              <w:t>accountabilities</w:t>
            </w:r>
          </w:p>
        </w:tc>
      </w:tr>
      <w:tr w:rsidR="007203C0" w:rsidRPr="00383310" w14:paraId="385EB6B8" w14:textId="77777777" w:rsidTr="007203C0">
        <w:trPr>
          <w:trHeight w:val="1884"/>
          <w:tblCellSpacing w:w="20" w:type="dxa"/>
        </w:trPr>
        <w:tc>
          <w:tcPr>
            <w:tcW w:w="4962" w:type="pct"/>
            <w:shd w:val="clear" w:color="auto" w:fill="auto"/>
          </w:tcPr>
          <w:p w14:paraId="1047E1A7" w14:textId="77777777" w:rsidR="007203C0" w:rsidRDefault="007203C0" w:rsidP="007203C0">
            <w:pPr>
              <w:pStyle w:val="NoSpacing"/>
              <w:spacing w:after="60"/>
              <w:rPr>
                <w:rFonts w:ascii="Arial" w:hAnsi="Arial" w:cs="Arial"/>
              </w:rPr>
            </w:pPr>
          </w:p>
          <w:p w14:paraId="30A88C6D" w14:textId="77777777" w:rsidR="007203C0" w:rsidRDefault="007203C0" w:rsidP="007203C0">
            <w:pPr>
              <w:pStyle w:val="NoSpacing"/>
              <w:spacing w:after="60"/>
              <w:rPr>
                <w:rFonts w:ascii="Arial" w:hAnsi="Arial" w:cs="Arial"/>
                <w:b/>
              </w:rPr>
            </w:pPr>
            <w:r>
              <w:rPr>
                <w:rFonts w:ascii="Arial" w:hAnsi="Arial" w:cs="Arial"/>
                <w:b/>
              </w:rPr>
              <w:t>Appraisal System</w:t>
            </w:r>
          </w:p>
          <w:p w14:paraId="4D1FF362" w14:textId="77777777" w:rsidR="007203C0" w:rsidRPr="00C819D2" w:rsidRDefault="007203C0" w:rsidP="007203C0">
            <w:pPr>
              <w:pStyle w:val="NoSpacing"/>
              <w:numPr>
                <w:ilvl w:val="0"/>
                <w:numId w:val="36"/>
              </w:numPr>
              <w:spacing w:after="60"/>
              <w:rPr>
                <w:rFonts w:ascii="Arial" w:hAnsi="Arial" w:cs="Arial"/>
              </w:rPr>
            </w:pPr>
            <w:r w:rsidRPr="00BA0042">
              <w:rPr>
                <w:rFonts w:ascii="Arial" w:hAnsi="Arial" w:cs="Arial"/>
              </w:rPr>
              <w:t>Liaise with the system vendors and ICT staff on any technical issues, including system upgrades.</w:t>
            </w:r>
            <w:r w:rsidRPr="00C819D2">
              <w:rPr>
                <w:rFonts w:ascii="Arial" w:hAnsi="Arial" w:cs="Arial"/>
              </w:rPr>
              <w:t xml:space="preserve"> </w:t>
            </w:r>
          </w:p>
          <w:p w14:paraId="5DC8E2DF" w14:textId="77777777" w:rsidR="007203C0" w:rsidRDefault="007203C0" w:rsidP="007203C0">
            <w:pPr>
              <w:pStyle w:val="NoSpacing"/>
              <w:numPr>
                <w:ilvl w:val="0"/>
                <w:numId w:val="36"/>
              </w:numPr>
              <w:spacing w:after="60"/>
              <w:rPr>
                <w:rFonts w:ascii="Arial" w:hAnsi="Arial" w:cs="Arial"/>
              </w:rPr>
            </w:pPr>
            <w:r w:rsidRPr="00BA0042">
              <w:rPr>
                <w:rFonts w:ascii="Arial" w:hAnsi="Arial" w:cs="Arial"/>
              </w:rPr>
              <w:t>Carry out any appraisal and project management system housekeeping that may be required.</w:t>
            </w:r>
          </w:p>
          <w:p w14:paraId="7EB470E8" w14:textId="77777777" w:rsidR="007203C0" w:rsidRDefault="007203C0" w:rsidP="007203C0">
            <w:pPr>
              <w:pStyle w:val="NoSpacing"/>
              <w:numPr>
                <w:ilvl w:val="0"/>
                <w:numId w:val="36"/>
              </w:numPr>
              <w:spacing w:after="60"/>
              <w:rPr>
                <w:rFonts w:ascii="Arial" w:hAnsi="Arial" w:cs="Arial"/>
              </w:rPr>
            </w:pPr>
            <w:r w:rsidRPr="00BA0042">
              <w:rPr>
                <w:rFonts w:ascii="Arial" w:hAnsi="Arial" w:cs="Arial"/>
              </w:rPr>
              <w:t>Ensure that users of the system are properly authorised and set up as agreed by the appropriate manager.</w:t>
            </w:r>
          </w:p>
          <w:p w14:paraId="6B5C63B3" w14:textId="77777777" w:rsidR="007203C0" w:rsidRDefault="007203C0" w:rsidP="007203C0">
            <w:pPr>
              <w:pStyle w:val="NoSpacing"/>
              <w:numPr>
                <w:ilvl w:val="0"/>
                <w:numId w:val="36"/>
              </w:numPr>
              <w:spacing w:after="60"/>
              <w:rPr>
                <w:rFonts w:ascii="Arial" w:hAnsi="Arial" w:cs="Arial"/>
              </w:rPr>
            </w:pPr>
            <w:r w:rsidRPr="00BA0042">
              <w:rPr>
                <w:rFonts w:ascii="Arial" w:hAnsi="Arial" w:cs="Arial"/>
              </w:rPr>
              <w:t xml:space="preserve"> Provide Pamwin support to the Development and other Finance colleagues.</w:t>
            </w:r>
          </w:p>
          <w:p w14:paraId="5269A7C3" w14:textId="77777777" w:rsidR="007203C0" w:rsidRDefault="007203C0" w:rsidP="007203C0">
            <w:pPr>
              <w:pStyle w:val="NoSpacing"/>
              <w:numPr>
                <w:ilvl w:val="0"/>
                <w:numId w:val="36"/>
              </w:numPr>
              <w:spacing w:after="60"/>
              <w:rPr>
                <w:rFonts w:ascii="Arial" w:hAnsi="Arial" w:cs="Arial"/>
              </w:rPr>
            </w:pPr>
            <w:r w:rsidRPr="00BA0042">
              <w:rPr>
                <w:rFonts w:ascii="Arial" w:hAnsi="Arial" w:cs="Arial"/>
              </w:rPr>
              <w:t xml:space="preserve"> Maintain and update Pamwin conversion tables</w:t>
            </w:r>
            <w:r w:rsidRPr="00663758">
              <w:rPr>
                <w:rFonts w:ascii="Arial" w:hAnsi="Arial" w:cs="Arial"/>
              </w:rPr>
              <w:t xml:space="preserve"> and liaise with other departments as required ensuring that interfaces are effective. </w:t>
            </w:r>
          </w:p>
          <w:p w14:paraId="3A55C6AC" w14:textId="77777777" w:rsidR="007203C0" w:rsidRDefault="007203C0" w:rsidP="007203C0">
            <w:pPr>
              <w:pStyle w:val="NoSpacing"/>
              <w:numPr>
                <w:ilvl w:val="0"/>
                <w:numId w:val="36"/>
              </w:numPr>
              <w:spacing w:after="60"/>
              <w:rPr>
                <w:rFonts w:ascii="Arial" w:hAnsi="Arial" w:cs="Arial"/>
              </w:rPr>
            </w:pPr>
            <w:r w:rsidRPr="00663758">
              <w:rPr>
                <w:rFonts w:ascii="Arial" w:hAnsi="Arial" w:cs="Arial"/>
              </w:rPr>
              <w:t xml:space="preserve">Act as the system administrator, ensuring users are properly authorised and set up as agreed by the appropriate manager </w:t>
            </w:r>
            <w:proofErr w:type="gramStart"/>
            <w:r w:rsidRPr="00663758">
              <w:rPr>
                <w:rFonts w:ascii="Arial" w:hAnsi="Arial" w:cs="Arial"/>
              </w:rPr>
              <w:t>and also</w:t>
            </w:r>
            <w:proofErr w:type="gramEnd"/>
            <w:r w:rsidRPr="00663758">
              <w:rPr>
                <w:rFonts w:ascii="Arial" w:hAnsi="Arial" w:cs="Arial"/>
              </w:rPr>
              <w:t xml:space="preserve"> ensure users are deleted from the</w:t>
            </w:r>
            <w:r>
              <w:rPr>
                <w:rFonts w:ascii="Arial" w:hAnsi="Arial" w:cs="Arial"/>
              </w:rPr>
              <w:t xml:space="preserve"> system when they leave the company</w:t>
            </w:r>
          </w:p>
          <w:p w14:paraId="07B37E5E" w14:textId="77777777" w:rsidR="007203C0" w:rsidRPr="0061089F" w:rsidRDefault="007203C0" w:rsidP="007203C0">
            <w:pPr>
              <w:pStyle w:val="NoSpacing"/>
              <w:numPr>
                <w:ilvl w:val="0"/>
                <w:numId w:val="36"/>
              </w:numPr>
              <w:spacing w:after="60"/>
              <w:rPr>
                <w:rFonts w:ascii="Arial" w:hAnsi="Arial" w:cs="Arial"/>
              </w:rPr>
            </w:pPr>
            <w:r w:rsidRPr="0061089F">
              <w:rPr>
                <w:rFonts w:ascii="Arial" w:hAnsi="Arial" w:cs="Arial"/>
              </w:rPr>
              <w:t xml:space="preserve">Liaise with the internal IT colleagues to constantly improve the appraisal software deliverables and to enhance the system performance. </w:t>
            </w:r>
          </w:p>
          <w:p w14:paraId="0C039360" w14:textId="77777777" w:rsidR="007203C0" w:rsidRPr="0061089F" w:rsidRDefault="007203C0" w:rsidP="007203C0">
            <w:pPr>
              <w:pStyle w:val="NoSpacing"/>
              <w:numPr>
                <w:ilvl w:val="0"/>
                <w:numId w:val="36"/>
              </w:numPr>
              <w:spacing w:after="60"/>
              <w:rPr>
                <w:rFonts w:ascii="Arial" w:hAnsi="Arial" w:cs="Arial"/>
              </w:rPr>
            </w:pPr>
            <w:r w:rsidRPr="0061089F">
              <w:rPr>
                <w:rFonts w:ascii="Arial" w:hAnsi="Arial" w:cs="Arial"/>
              </w:rPr>
              <w:t xml:space="preserve">Oversee the interface of the Sun system with Pamwin to ensure all transactions are transferred between the two systems efficiently. </w:t>
            </w:r>
          </w:p>
          <w:p w14:paraId="00397856" w14:textId="77777777" w:rsidR="007203C0" w:rsidRPr="00663758" w:rsidRDefault="007203C0" w:rsidP="007203C0">
            <w:pPr>
              <w:pStyle w:val="NoSpacing"/>
              <w:numPr>
                <w:ilvl w:val="0"/>
                <w:numId w:val="36"/>
              </w:numPr>
              <w:spacing w:after="60"/>
              <w:rPr>
                <w:rFonts w:ascii="Arial" w:hAnsi="Arial" w:cs="Arial"/>
              </w:rPr>
            </w:pPr>
            <w:r w:rsidRPr="0061089F">
              <w:rPr>
                <w:rFonts w:ascii="Arial" w:hAnsi="Arial" w:cs="Arial"/>
              </w:rPr>
              <w:t>Support and provide internal training to users of Pamwin, and to liaise with the software provider for any external training where necessary.</w:t>
            </w:r>
          </w:p>
          <w:p w14:paraId="37CA2008" w14:textId="77777777" w:rsidR="007203C0" w:rsidRDefault="007203C0" w:rsidP="007203C0">
            <w:pPr>
              <w:pStyle w:val="NoSpacing"/>
              <w:spacing w:after="60"/>
              <w:rPr>
                <w:rFonts w:ascii="Arial" w:hAnsi="Arial" w:cs="Arial"/>
              </w:rPr>
            </w:pPr>
          </w:p>
          <w:p w14:paraId="603BB3DD" w14:textId="77777777" w:rsidR="007203C0" w:rsidRDefault="007203C0" w:rsidP="007203C0">
            <w:pPr>
              <w:pStyle w:val="NoSpacing"/>
              <w:spacing w:after="60"/>
              <w:rPr>
                <w:rFonts w:ascii="Arial" w:hAnsi="Arial" w:cs="Arial"/>
                <w:b/>
              </w:rPr>
            </w:pPr>
            <w:r w:rsidRPr="00746956">
              <w:rPr>
                <w:rFonts w:ascii="Arial" w:hAnsi="Arial" w:cs="Arial"/>
                <w:b/>
              </w:rPr>
              <w:t>Project Management System Integrity</w:t>
            </w:r>
          </w:p>
          <w:p w14:paraId="6D700F28" w14:textId="77777777" w:rsidR="007203C0" w:rsidRPr="00DB5A6A" w:rsidRDefault="007203C0" w:rsidP="007203C0">
            <w:pPr>
              <w:pStyle w:val="NoSpacing"/>
              <w:numPr>
                <w:ilvl w:val="0"/>
                <w:numId w:val="36"/>
              </w:numPr>
              <w:spacing w:after="60"/>
              <w:rPr>
                <w:rFonts w:ascii="Arial" w:hAnsi="Arial" w:cs="Arial"/>
              </w:rPr>
            </w:pPr>
            <w:r w:rsidRPr="00DB5A6A">
              <w:rPr>
                <w:rFonts w:ascii="Arial" w:hAnsi="Arial" w:cs="Arial"/>
              </w:rPr>
              <w:t xml:space="preserve">Contribute to month end duties in line with the Finance timetable. </w:t>
            </w:r>
          </w:p>
          <w:p w14:paraId="7F02649E" w14:textId="77777777" w:rsidR="007203C0" w:rsidRDefault="007203C0" w:rsidP="007203C0">
            <w:pPr>
              <w:pStyle w:val="NoSpacing"/>
              <w:numPr>
                <w:ilvl w:val="0"/>
                <w:numId w:val="36"/>
              </w:numPr>
              <w:spacing w:after="60"/>
              <w:rPr>
                <w:rFonts w:ascii="Arial" w:hAnsi="Arial" w:cs="Arial"/>
                <w:b/>
              </w:rPr>
            </w:pPr>
            <w:r w:rsidRPr="00DB5A6A">
              <w:rPr>
                <w:rFonts w:ascii="Arial" w:hAnsi="Arial" w:cs="Arial"/>
              </w:rPr>
              <w:t>Assist the Head of Appraisal in the scheme viability assessment and provide a view to</w:t>
            </w:r>
            <w:r>
              <w:t xml:space="preserve"> the PAG, DSC or the Group Board on how the schemes meet the approved key performance indicators.</w:t>
            </w:r>
          </w:p>
          <w:p w14:paraId="19DB019A" w14:textId="77777777" w:rsidR="007203C0" w:rsidRPr="003E7597" w:rsidRDefault="007203C0" w:rsidP="007203C0">
            <w:pPr>
              <w:spacing w:after="60"/>
              <w:rPr>
                <w:rFonts w:cs="Arial"/>
                <w:b/>
              </w:rPr>
            </w:pPr>
            <w:r w:rsidRPr="003E7597">
              <w:rPr>
                <w:rFonts w:cs="Arial"/>
                <w:b/>
              </w:rPr>
              <w:t>Reporting</w:t>
            </w:r>
          </w:p>
          <w:p w14:paraId="01D942B2" w14:textId="77777777" w:rsidR="007203C0" w:rsidRPr="00326DE2" w:rsidRDefault="007203C0" w:rsidP="007203C0">
            <w:pPr>
              <w:spacing w:after="60"/>
              <w:rPr>
                <w:rFonts w:cs="Arial"/>
              </w:rPr>
            </w:pPr>
            <w:r w:rsidRPr="00A5022E">
              <w:rPr>
                <w:rFonts w:cs="Arial"/>
              </w:rPr>
              <w:t xml:space="preserve">Assist the Head of Appraisal in the preparation of the following, as amended from time to time, </w:t>
            </w:r>
            <w:proofErr w:type="gramStart"/>
            <w:r w:rsidRPr="00A5022E">
              <w:rPr>
                <w:rFonts w:cs="Arial"/>
              </w:rPr>
              <w:t>on a monthly basis</w:t>
            </w:r>
            <w:proofErr w:type="gramEnd"/>
            <w:r w:rsidRPr="00A5022E">
              <w:rPr>
                <w:rFonts w:cs="Arial"/>
              </w:rPr>
              <w:t xml:space="preserve"> for inclusion in the Group’s monthly results pack, project appraisals or in Board and Committee reports:</w:t>
            </w:r>
          </w:p>
          <w:p w14:paraId="06E060AA" w14:textId="77777777" w:rsidR="007203C0" w:rsidRPr="00326DE2" w:rsidRDefault="007203C0" w:rsidP="007203C0">
            <w:pPr>
              <w:pStyle w:val="NoSpacing"/>
              <w:numPr>
                <w:ilvl w:val="0"/>
                <w:numId w:val="36"/>
              </w:numPr>
              <w:spacing w:after="60"/>
              <w:rPr>
                <w:rFonts w:ascii="Arial" w:hAnsi="Arial" w:cs="Arial"/>
              </w:rPr>
            </w:pPr>
            <w:r w:rsidRPr="00043571">
              <w:rPr>
                <w:rFonts w:ascii="Arial" w:hAnsi="Arial" w:cs="Arial"/>
              </w:rPr>
              <w:t xml:space="preserve">A schedule of scheme approvals against commitment limits </w:t>
            </w:r>
          </w:p>
          <w:p w14:paraId="68E8FD80" w14:textId="77777777" w:rsidR="007203C0" w:rsidRDefault="007203C0" w:rsidP="007203C0">
            <w:pPr>
              <w:numPr>
                <w:ilvl w:val="0"/>
                <w:numId w:val="36"/>
              </w:numPr>
              <w:spacing w:after="60" w:line="276" w:lineRule="auto"/>
              <w:rPr>
                <w:rFonts w:cs="Arial"/>
              </w:rPr>
            </w:pPr>
            <w:r w:rsidRPr="00043571">
              <w:rPr>
                <w:rFonts w:cs="Arial"/>
              </w:rPr>
              <w:t xml:space="preserve">A schedule of group investments in non-core activities measured against commitment limits. To include private sale and market rent activities of the group. </w:t>
            </w:r>
          </w:p>
          <w:p w14:paraId="4D51FA9F" w14:textId="77777777" w:rsidR="007203C0" w:rsidRPr="002F5B83" w:rsidRDefault="007203C0" w:rsidP="007203C0">
            <w:pPr>
              <w:numPr>
                <w:ilvl w:val="0"/>
                <w:numId w:val="36"/>
              </w:numPr>
              <w:spacing w:after="60" w:line="276" w:lineRule="auto"/>
              <w:rPr>
                <w:rFonts w:cs="Arial"/>
              </w:rPr>
            </w:pPr>
            <w:r w:rsidRPr="00043571">
              <w:rPr>
                <w:rFonts w:cs="Arial"/>
              </w:rPr>
              <w:t xml:space="preserve">A schedule of current forecast development scheme net present values, compared to approved net present values </w:t>
            </w:r>
          </w:p>
          <w:p w14:paraId="5D087C3A" w14:textId="77777777" w:rsidR="007203C0" w:rsidRPr="002F5B83" w:rsidRDefault="007203C0" w:rsidP="007203C0">
            <w:pPr>
              <w:numPr>
                <w:ilvl w:val="0"/>
                <w:numId w:val="36"/>
              </w:numPr>
              <w:spacing w:after="60" w:line="276" w:lineRule="auto"/>
              <w:rPr>
                <w:rFonts w:cs="Arial"/>
              </w:rPr>
            </w:pPr>
            <w:r w:rsidRPr="00043571">
              <w:rPr>
                <w:rFonts w:cs="Arial"/>
              </w:rPr>
              <w:t xml:space="preserve">A schedule of development scheme approved first year deficits, measured against annual amounts made available by the Board </w:t>
            </w:r>
          </w:p>
          <w:p w14:paraId="2992AE70" w14:textId="77777777" w:rsidR="007203C0" w:rsidRDefault="007203C0" w:rsidP="007203C0">
            <w:pPr>
              <w:numPr>
                <w:ilvl w:val="0"/>
                <w:numId w:val="36"/>
              </w:numPr>
              <w:spacing w:after="60" w:line="276" w:lineRule="auto"/>
              <w:rPr>
                <w:rFonts w:cs="Arial"/>
              </w:rPr>
            </w:pPr>
            <w:r w:rsidRPr="00043571">
              <w:rPr>
                <w:rFonts w:cs="Arial"/>
              </w:rPr>
              <w:t xml:space="preserve">Development overhead capitalisation figures, including forecast for the year end. </w:t>
            </w:r>
          </w:p>
          <w:p w14:paraId="7B3AD1B4" w14:textId="77777777" w:rsidR="007203C0" w:rsidRPr="002F5B83" w:rsidRDefault="007203C0" w:rsidP="007203C0">
            <w:pPr>
              <w:numPr>
                <w:ilvl w:val="0"/>
                <w:numId w:val="36"/>
              </w:numPr>
              <w:spacing w:after="60" w:line="276" w:lineRule="auto"/>
              <w:rPr>
                <w:rFonts w:cs="Arial"/>
              </w:rPr>
            </w:pPr>
            <w:r w:rsidRPr="00043571">
              <w:rPr>
                <w:rFonts w:cs="Arial"/>
              </w:rPr>
              <w:t xml:space="preserve">Forecast start on site and completion dates for development schemes </w:t>
            </w:r>
          </w:p>
          <w:p w14:paraId="1A8BF07C" w14:textId="77777777" w:rsidR="007203C0" w:rsidRPr="002F5B83" w:rsidRDefault="007203C0" w:rsidP="007203C0">
            <w:pPr>
              <w:numPr>
                <w:ilvl w:val="0"/>
                <w:numId w:val="36"/>
              </w:numPr>
              <w:spacing w:after="60" w:line="276" w:lineRule="auto"/>
              <w:rPr>
                <w:rFonts w:cs="Arial"/>
              </w:rPr>
            </w:pPr>
            <w:r w:rsidRPr="00043571">
              <w:rPr>
                <w:rFonts w:cs="Arial"/>
              </w:rPr>
              <w:t xml:space="preserve">A schedule of progress against grant targets set by the GLA </w:t>
            </w:r>
          </w:p>
          <w:p w14:paraId="059595E6" w14:textId="77777777" w:rsidR="007203C0" w:rsidRPr="002F5B83" w:rsidRDefault="007203C0" w:rsidP="007203C0">
            <w:pPr>
              <w:numPr>
                <w:ilvl w:val="0"/>
                <w:numId w:val="36"/>
              </w:numPr>
              <w:spacing w:after="60" w:line="276" w:lineRule="auto"/>
              <w:rPr>
                <w:rFonts w:cs="Arial"/>
              </w:rPr>
            </w:pPr>
            <w:r w:rsidRPr="00043571">
              <w:rPr>
                <w:rFonts w:cs="Arial"/>
              </w:rPr>
              <w:t xml:space="preserve">A schedule of development scheme costs compared to approved costs </w:t>
            </w:r>
          </w:p>
          <w:p w14:paraId="56A44BA8" w14:textId="77777777" w:rsidR="007203C0" w:rsidRPr="002F5B83" w:rsidRDefault="007203C0" w:rsidP="007203C0">
            <w:pPr>
              <w:numPr>
                <w:ilvl w:val="0"/>
                <w:numId w:val="36"/>
              </w:numPr>
              <w:spacing w:after="60" w:line="276" w:lineRule="auto"/>
              <w:rPr>
                <w:rFonts w:cs="Arial"/>
              </w:rPr>
            </w:pPr>
            <w:r w:rsidRPr="00043571">
              <w:rPr>
                <w:rFonts w:cs="Arial"/>
              </w:rPr>
              <w:t xml:space="preserve">A report of shared ownership sales over time, showing stock unsold </w:t>
            </w:r>
          </w:p>
          <w:p w14:paraId="77F74139" w14:textId="77777777" w:rsidR="007203C0" w:rsidRPr="002F5B83" w:rsidRDefault="007203C0" w:rsidP="007203C0">
            <w:pPr>
              <w:numPr>
                <w:ilvl w:val="0"/>
                <w:numId w:val="36"/>
              </w:numPr>
              <w:spacing w:after="60" w:line="276" w:lineRule="auto"/>
              <w:rPr>
                <w:rFonts w:cs="Arial"/>
              </w:rPr>
            </w:pPr>
            <w:r w:rsidRPr="00043571">
              <w:rPr>
                <w:rFonts w:cs="Arial"/>
              </w:rPr>
              <w:t xml:space="preserve">A schedule of group land bank expenditure measured against approved limits and showing the available capacity of the land bank </w:t>
            </w:r>
          </w:p>
          <w:p w14:paraId="638E15B3" w14:textId="77777777" w:rsidR="007203C0" w:rsidRPr="002F5B83" w:rsidRDefault="007203C0" w:rsidP="007203C0">
            <w:pPr>
              <w:numPr>
                <w:ilvl w:val="0"/>
                <w:numId w:val="36"/>
              </w:numPr>
              <w:spacing w:after="60" w:line="276" w:lineRule="auto"/>
              <w:rPr>
                <w:rFonts w:cs="Arial"/>
              </w:rPr>
            </w:pPr>
            <w:r w:rsidRPr="00043571">
              <w:rPr>
                <w:rFonts w:cs="Arial"/>
              </w:rPr>
              <w:lastRenderedPageBreak/>
              <w:t xml:space="preserve">A schedule of Capital at Risk on individual projects measured against approved limits and showing the available capacity for future projects. </w:t>
            </w:r>
          </w:p>
          <w:p w14:paraId="5CE366BE" w14:textId="77777777" w:rsidR="007203C0" w:rsidRDefault="007203C0" w:rsidP="007203C0">
            <w:pPr>
              <w:numPr>
                <w:ilvl w:val="0"/>
                <w:numId w:val="36"/>
              </w:numPr>
              <w:spacing w:after="60" w:line="276" w:lineRule="auto"/>
              <w:rPr>
                <w:rFonts w:cs="Arial"/>
              </w:rPr>
            </w:pPr>
            <w:r w:rsidRPr="00043571">
              <w:rPr>
                <w:rFonts w:cs="Arial"/>
              </w:rPr>
              <w:t xml:space="preserve">Forecasts of future land bank and capital at risk levels over the next five years based on expected future development activity </w:t>
            </w:r>
          </w:p>
          <w:p w14:paraId="1AE96463" w14:textId="77777777" w:rsidR="007203C0" w:rsidRDefault="007203C0" w:rsidP="007203C0">
            <w:pPr>
              <w:numPr>
                <w:ilvl w:val="0"/>
                <w:numId w:val="36"/>
              </w:numPr>
              <w:spacing w:after="60" w:line="276" w:lineRule="auto"/>
              <w:rPr>
                <w:rFonts w:cs="Arial"/>
              </w:rPr>
            </w:pPr>
            <w:r w:rsidRPr="00043571">
              <w:rPr>
                <w:rFonts w:cs="Arial"/>
              </w:rPr>
              <w:t>A cash flow forecast of</w:t>
            </w:r>
            <w:r w:rsidRPr="000463AE">
              <w:rPr>
                <w:rFonts w:cs="Arial"/>
              </w:rPr>
              <w:t xml:space="preserve"> expenditure on new development for the next two financial years </w:t>
            </w:r>
          </w:p>
          <w:p w14:paraId="06BCE9E2" w14:textId="77777777" w:rsidR="007203C0" w:rsidRPr="00746956" w:rsidRDefault="007203C0" w:rsidP="007203C0">
            <w:pPr>
              <w:numPr>
                <w:ilvl w:val="0"/>
                <w:numId w:val="36"/>
              </w:numPr>
              <w:spacing w:after="60" w:line="276" w:lineRule="auto"/>
              <w:rPr>
                <w:rFonts w:cs="Arial"/>
              </w:rPr>
            </w:pPr>
            <w:r w:rsidRPr="000463AE">
              <w:rPr>
                <w:rFonts w:cs="Arial"/>
              </w:rPr>
              <w:t>To provide commentary on the above report</w:t>
            </w:r>
          </w:p>
          <w:p w14:paraId="18653442" w14:textId="77777777" w:rsidR="007203C0" w:rsidRDefault="007203C0" w:rsidP="007203C0">
            <w:pPr>
              <w:pStyle w:val="NoSpacing"/>
              <w:spacing w:after="60"/>
              <w:rPr>
                <w:rFonts w:ascii="Arial" w:hAnsi="Arial" w:cs="Arial"/>
                <w:b/>
              </w:rPr>
            </w:pPr>
          </w:p>
          <w:p w14:paraId="7D928171" w14:textId="77777777" w:rsidR="007203C0" w:rsidRDefault="007203C0" w:rsidP="007203C0">
            <w:pPr>
              <w:pStyle w:val="NoSpacing"/>
              <w:spacing w:after="60"/>
              <w:rPr>
                <w:rFonts w:ascii="Arial" w:hAnsi="Arial" w:cs="Arial"/>
                <w:b/>
              </w:rPr>
            </w:pPr>
            <w:r w:rsidRPr="00C172F1">
              <w:rPr>
                <w:rFonts w:ascii="Arial" w:hAnsi="Arial" w:cs="Arial"/>
                <w:b/>
              </w:rPr>
              <w:t>General</w:t>
            </w:r>
          </w:p>
          <w:p w14:paraId="787CD877" w14:textId="77777777" w:rsidR="007203C0" w:rsidRPr="00C172F1" w:rsidRDefault="007203C0" w:rsidP="007203C0">
            <w:pPr>
              <w:pStyle w:val="NoSpacing"/>
              <w:numPr>
                <w:ilvl w:val="0"/>
                <w:numId w:val="4"/>
              </w:numPr>
              <w:spacing w:after="60"/>
              <w:rPr>
                <w:rFonts w:ascii="Arial" w:hAnsi="Arial" w:cs="Arial"/>
              </w:rPr>
            </w:pPr>
            <w:r w:rsidRPr="00C172F1">
              <w:rPr>
                <w:rFonts w:ascii="Arial" w:hAnsi="Arial" w:cs="Arial"/>
              </w:rPr>
              <w:t>Ensure you follow the financial regulations, policies and procedures at NHG.</w:t>
            </w:r>
          </w:p>
          <w:p w14:paraId="6889365A" w14:textId="77777777" w:rsidR="007203C0" w:rsidRPr="00DD024A" w:rsidRDefault="007203C0" w:rsidP="007203C0">
            <w:pPr>
              <w:pStyle w:val="NoSpacing"/>
              <w:numPr>
                <w:ilvl w:val="0"/>
                <w:numId w:val="4"/>
              </w:numPr>
              <w:spacing w:after="60"/>
              <w:rPr>
                <w:rFonts w:ascii="Arial" w:hAnsi="Arial" w:cs="Arial"/>
                <w:b/>
              </w:rPr>
            </w:pPr>
            <w:r w:rsidRPr="00DD024A">
              <w:rPr>
                <w:rFonts w:ascii="Arial" w:hAnsi="Arial" w:cs="Arial"/>
              </w:rPr>
              <w:t>Ensure that you follow relevant Health and Safety policies and related procedures, keeping up to date with changes and taking action to maintain personal health and safety and that of others.</w:t>
            </w:r>
          </w:p>
          <w:p w14:paraId="5B431A8F" w14:textId="2B284291" w:rsidR="007203C0" w:rsidRPr="0090526B" w:rsidRDefault="007203C0" w:rsidP="007203C0">
            <w:pPr>
              <w:spacing w:before="100" w:beforeAutospacing="1" w:after="100" w:afterAutospacing="1"/>
              <w:rPr>
                <w:rFonts w:cs="Arial"/>
                <w:sz w:val="22"/>
                <w:szCs w:val="22"/>
              </w:rPr>
            </w:pPr>
          </w:p>
        </w:tc>
      </w:tr>
      <w:tr w:rsidR="007203C0" w:rsidRPr="00383310" w14:paraId="6DCD98F5" w14:textId="77777777" w:rsidTr="007203C0">
        <w:trPr>
          <w:trHeight w:val="415"/>
          <w:tblCellSpacing w:w="20" w:type="dxa"/>
        </w:trPr>
        <w:tc>
          <w:tcPr>
            <w:tcW w:w="4962" w:type="pct"/>
            <w:shd w:val="clear" w:color="auto" w:fill="auto"/>
          </w:tcPr>
          <w:p w14:paraId="2494715C" w14:textId="0BE9C593" w:rsidR="007203C0" w:rsidRPr="00383310" w:rsidRDefault="007203C0" w:rsidP="007203C0">
            <w:pPr>
              <w:pStyle w:val="NoSpacing"/>
              <w:rPr>
                <w:rFonts w:ascii="Arial" w:hAnsi="Arial" w:cs="Arial"/>
              </w:rPr>
            </w:pPr>
            <w:r w:rsidRPr="00C172F1">
              <w:rPr>
                <w:rFonts w:ascii="Arial" w:hAnsi="Arial" w:cs="Arial"/>
              </w:rPr>
              <w:lastRenderedPageBreak/>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607DE65" w14:textId="39F270EE" w:rsidR="00426035"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24E3399F" w14:textId="77777777" w:rsidR="006831C9" w:rsidRDefault="006831C9" w:rsidP="00AB3858">
      <w:pPr>
        <w:pStyle w:val="NoSpacing"/>
        <w:rPr>
          <w:rFonts w:ascii="Arial" w:hAnsi="Arial" w:cs="Arial"/>
        </w:rPr>
      </w:pP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18"/>
        <w:gridCol w:w="5426"/>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A94BE0" w:rsidRDefault="000E6C81" w:rsidP="005C7264">
            <w:pPr>
              <w:rPr>
                <w:rFonts w:cs="Arial"/>
                <w:b/>
                <w:bCs/>
                <w:sz w:val="22"/>
                <w:szCs w:val="22"/>
              </w:rPr>
            </w:pPr>
            <w:r w:rsidRPr="00A94BE0">
              <w:rPr>
                <w:rFonts w:cs="Arial"/>
                <w:b/>
                <w:bCs/>
                <w:sz w:val="22"/>
                <w:szCs w:val="22"/>
              </w:rPr>
              <w:t>Professional expertise (know how &amp; experience)</w:t>
            </w:r>
            <w:r w:rsidRPr="008863C2">
              <w:rPr>
                <w:rFonts w:cs="Arial"/>
                <w:i/>
                <w:iCs/>
                <w:color w:val="808080" w:themeColor="background1" w:themeShade="80"/>
                <w:sz w:val="22"/>
                <w:szCs w:val="22"/>
              </w:rPr>
              <w:t>’</w:t>
            </w:r>
          </w:p>
        </w:tc>
      </w:tr>
      <w:tr w:rsidR="000D37DB" w:rsidRPr="00C452CD" w14:paraId="139CCA4A" w14:textId="77777777" w:rsidTr="006E5964">
        <w:trPr>
          <w:trHeight w:val="188"/>
          <w:tblCellSpacing w:w="20" w:type="dxa"/>
        </w:trPr>
        <w:tc>
          <w:tcPr>
            <w:tcW w:w="2383" w:type="pct"/>
            <w:tcBorders>
              <w:top w:val="outset" w:sz="6" w:space="0" w:color="auto"/>
              <w:bottom w:val="outset" w:sz="6" w:space="0" w:color="auto"/>
              <w:right w:val="outset" w:sz="6" w:space="0" w:color="auto"/>
            </w:tcBorders>
            <w:shd w:val="clear" w:color="auto" w:fill="auto"/>
          </w:tcPr>
          <w:p w14:paraId="36E7CFF8" w14:textId="77777777" w:rsidR="00692D90" w:rsidRPr="007C01B4"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A94BE0">
              <w:rPr>
                <w:rFonts w:cs="Arial"/>
                <w:b/>
                <w:bCs/>
                <w:sz w:val="22"/>
                <w:szCs w:val="22"/>
              </w:rPr>
              <w:t xml:space="preserve">Essential </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6E5964">
        <w:trPr>
          <w:trHeight w:val="503"/>
          <w:tblCellSpacing w:w="20" w:type="dxa"/>
        </w:trPr>
        <w:tc>
          <w:tcPr>
            <w:tcW w:w="2383" w:type="pct"/>
            <w:tcBorders>
              <w:top w:val="outset" w:sz="6" w:space="0" w:color="auto"/>
              <w:bottom w:val="outset" w:sz="6" w:space="0" w:color="auto"/>
              <w:right w:val="outset" w:sz="6" w:space="0" w:color="auto"/>
            </w:tcBorders>
            <w:shd w:val="clear" w:color="auto" w:fill="auto"/>
          </w:tcPr>
          <w:p w14:paraId="42B47217" w14:textId="77777777" w:rsidR="006E5964" w:rsidRDefault="006E5964" w:rsidP="006E5964">
            <w:pPr>
              <w:pStyle w:val="ListParagraph"/>
              <w:numPr>
                <w:ilvl w:val="0"/>
                <w:numId w:val="37"/>
              </w:numPr>
              <w:rPr>
                <w:rFonts w:cs="Arial"/>
                <w:sz w:val="22"/>
                <w:szCs w:val="22"/>
              </w:rPr>
            </w:pPr>
            <w:r>
              <w:rPr>
                <w:rFonts w:cs="Arial"/>
                <w:sz w:val="22"/>
                <w:szCs w:val="22"/>
              </w:rPr>
              <w:t>Experience of financial appraisal and reporting</w:t>
            </w:r>
          </w:p>
          <w:p w14:paraId="1F89BA3E" w14:textId="77777777" w:rsidR="006E5964" w:rsidRDefault="006E5964" w:rsidP="006E5964">
            <w:pPr>
              <w:pStyle w:val="ListParagraph"/>
              <w:numPr>
                <w:ilvl w:val="0"/>
                <w:numId w:val="37"/>
              </w:numPr>
              <w:rPr>
                <w:rFonts w:cs="Arial"/>
                <w:sz w:val="22"/>
                <w:szCs w:val="22"/>
              </w:rPr>
            </w:pPr>
            <w:r>
              <w:rPr>
                <w:rFonts w:cs="Arial"/>
                <w:sz w:val="22"/>
                <w:szCs w:val="22"/>
              </w:rPr>
              <w:t>Previous experience of using project monitoring software (Pamwin)</w:t>
            </w:r>
          </w:p>
          <w:p w14:paraId="01BAA6DB" w14:textId="77777777" w:rsidR="006E5964" w:rsidRDefault="006E5964" w:rsidP="006E5964">
            <w:pPr>
              <w:pStyle w:val="ListParagraph"/>
              <w:numPr>
                <w:ilvl w:val="0"/>
                <w:numId w:val="37"/>
              </w:numPr>
              <w:rPr>
                <w:rFonts w:cs="Arial"/>
                <w:sz w:val="22"/>
                <w:szCs w:val="22"/>
              </w:rPr>
            </w:pPr>
            <w:r>
              <w:rPr>
                <w:rFonts w:cs="Arial"/>
                <w:sz w:val="22"/>
                <w:szCs w:val="22"/>
              </w:rPr>
              <w:t>Ability to analyse and explain complex financial models</w:t>
            </w:r>
          </w:p>
          <w:p w14:paraId="709FDA3A" w14:textId="77777777" w:rsidR="006E5964" w:rsidRDefault="006E5964" w:rsidP="006E5964">
            <w:pPr>
              <w:pStyle w:val="ListParagraph"/>
              <w:numPr>
                <w:ilvl w:val="0"/>
                <w:numId w:val="37"/>
              </w:numPr>
              <w:rPr>
                <w:rFonts w:cs="Arial"/>
                <w:sz w:val="22"/>
                <w:szCs w:val="22"/>
              </w:rPr>
            </w:pPr>
            <w:r>
              <w:rPr>
                <w:rFonts w:cs="Arial"/>
                <w:sz w:val="22"/>
                <w:szCs w:val="22"/>
              </w:rPr>
              <w:t>Ability to work independently</w:t>
            </w:r>
          </w:p>
          <w:p w14:paraId="010937E7" w14:textId="3F83C587" w:rsidR="00692D90" w:rsidRPr="006E5964" w:rsidRDefault="006E5964" w:rsidP="006E5964">
            <w:pPr>
              <w:pStyle w:val="ListParagraph"/>
              <w:numPr>
                <w:ilvl w:val="0"/>
                <w:numId w:val="37"/>
              </w:numPr>
              <w:rPr>
                <w:rFonts w:cs="Arial"/>
                <w:sz w:val="22"/>
                <w:szCs w:val="22"/>
              </w:rPr>
            </w:pPr>
            <w:r w:rsidRPr="006E5964">
              <w:rPr>
                <w:rFonts w:cs="Arial"/>
                <w:sz w:val="22"/>
                <w:szCs w:val="22"/>
              </w:rPr>
              <w:t>Experience of accounting and financial reporting</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26C80046" w14:textId="1E0CE0D0" w:rsidR="00692D90" w:rsidRPr="00644EEA" w:rsidRDefault="00644EEA" w:rsidP="00644EEA">
            <w:pPr>
              <w:pStyle w:val="ListParagraph"/>
              <w:numPr>
                <w:ilvl w:val="0"/>
                <w:numId w:val="37"/>
              </w:numPr>
              <w:rPr>
                <w:rFonts w:cs="Arial"/>
                <w:sz w:val="22"/>
                <w:szCs w:val="22"/>
              </w:rPr>
            </w:pPr>
            <w:r>
              <w:rPr>
                <w:rFonts w:cs="Arial"/>
                <w:sz w:val="22"/>
                <w:szCs w:val="22"/>
              </w:rPr>
              <w:t xml:space="preserve">Experience </w:t>
            </w:r>
            <w:r w:rsidR="00553C8A">
              <w:rPr>
                <w:rFonts w:cs="Arial"/>
                <w:sz w:val="22"/>
                <w:szCs w:val="22"/>
              </w:rPr>
              <w:t>of</w:t>
            </w:r>
            <w:r w:rsidR="00E96DC7">
              <w:rPr>
                <w:rFonts w:cs="Arial"/>
                <w:sz w:val="22"/>
                <w:szCs w:val="22"/>
              </w:rPr>
              <w:t xml:space="preserve"> data analysis using SQL</w:t>
            </w: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24BD7F02" w:rsidR="001838F0" w:rsidRPr="00CB5B75" w:rsidRDefault="000E6C81" w:rsidP="00CB5B75">
            <w:pPr>
              <w:rPr>
                <w:rFonts w:cstheme="minorHAnsi"/>
              </w:rPr>
            </w:pPr>
            <w:r w:rsidRPr="007C01B4">
              <w:rPr>
                <w:rFonts w:cstheme="minorHAnsi"/>
                <w:b/>
                <w:bCs/>
              </w:rPr>
              <w:t>S</w:t>
            </w:r>
            <w:r w:rsidR="00C804D0">
              <w:rPr>
                <w:rFonts w:cstheme="minorHAnsi"/>
                <w:b/>
                <w:bCs/>
              </w:rPr>
              <w:t>kills</w:t>
            </w:r>
            <w:r>
              <w:rPr>
                <w:rFonts w:cstheme="minorHAnsi"/>
              </w:rPr>
              <w:t xml:space="preserve"> </w:t>
            </w:r>
          </w:p>
        </w:tc>
      </w:tr>
      <w:tr w:rsidR="00B34D82" w:rsidRPr="00C452CD" w14:paraId="706800C4" w14:textId="77777777" w:rsidTr="006E5964">
        <w:trPr>
          <w:trHeight w:val="252"/>
          <w:tblCellSpacing w:w="20" w:type="dxa"/>
        </w:trPr>
        <w:tc>
          <w:tcPr>
            <w:tcW w:w="2383"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6E5964">
        <w:trPr>
          <w:trHeight w:val="590"/>
          <w:tblCellSpacing w:w="20" w:type="dxa"/>
        </w:trPr>
        <w:tc>
          <w:tcPr>
            <w:tcW w:w="2383" w:type="pct"/>
            <w:tcBorders>
              <w:top w:val="outset" w:sz="6" w:space="0" w:color="auto"/>
              <w:bottom w:val="outset" w:sz="6" w:space="0" w:color="auto"/>
              <w:right w:val="outset" w:sz="6" w:space="0" w:color="auto"/>
            </w:tcBorders>
            <w:shd w:val="clear" w:color="auto" w:fill="auto"/>
          </w:tcPr>
          <w:p w14:paraId="29587414" w14:textId="528335A9" w:rsidR="00CB5B75" w:rsidRDefault="00AE209A" w:rsidP="00CB5B75">
            <w:pPr>
              <w:pStyle w:val="ListParagraph"/>
              <w:numPr>
                <w:ilvl w:val="0"/>
                <w:numId w:val="38"/>
              </w:numPr>
              <w:rPr>
                <w:rFonts w:cstheme="minorHAnsi"/>
                <w:bCs/>
              </w:rPr>
            </w:pPr>
            <w:r>
              <w:rPr>
                <w:rFonts w:cstheme="minorHAnsi"/>
                <w:bCs/>
              </w:rPr>
              <w:t>Demonstrate interpersonal, influencing and communication skills with the ability to l</w:t>
            </w:r>
            <w:r w:rsidR="00DA076D">
              <w:rPr>
                <w:rFonts w:cstheme="minorHAnsi"/>
                <w:bCs/>
              </w:rPr>
              <w:t>iaise with a variety of stakeholders</w:t>
            </w:r>
          </w:p>
          <w:p w14:paraId="2EE92C34" w14:textId="62A283E1" w:rsidR="00B34D82" w:rsidRPr="0081023A" w:rsidRDefault="00CB5B75" w:rsidP="00CB5B75">
            <w:pPr>
              <w:pStyle w:val="ListParagraph"/>
              <w:numPr>
                <w:ilvl w:val="0"/>
                <w:numId w:val="38"/>
              </w:numPr>
              <w:rPr>
                <w:rFonts w:cs="Arial"/>
                <w:sz w:val="22"/>
                <w:szCs w:val="22"/>
              </w:rPr>
            </w:pPr>
            <w:r w:rsidRPr="00CB5B75">
              <w:rPr>
                <w:rFonts w:cstheme="minorHAnsi"/>
                <w:bCs/>
              </w:rPr>
              <w:t xml:space="preserve">Effective IT skills </w:t>
            </w:r>
            <w:r w:rsidR="009D0CE1">
              <w:rPr>
                <w:rFonts w:cstheme="minorHAnsi"/>
                <w:bCs/>
              </w:rPr>
              <w:t xml:space="preserve">including </w:t>
            </w:r>
            <w:r w:rsidR="001E6575">
              <w:rPr>
                <w:rFonts w:cstheme="minorHAnsi"/>
                <w:bCs/>
              </w:rPr>
              <w:t>intermediate MS</w:t>
            </w:r>
            <w:r w:rsidR="0064709E">
              <w:rPr>
                <w:rFonts w:cstheme="minorHAnsi"/>
                <w:bCs/>
              </w:rPr>
              <w:t xml:space="preserve"> Office</w:t>
            </w:r>
            <w:r w:rsidR="0081023A">
              <w:rPr>
                <w:rFonts w:cstheme="minorHAnsi"/>
                <w:bCs/>
              </w:rPr>
              <w:t xml:space="preserve"> Outlook,</w:t>
            </w:r>
            <w:r w:rsidR="0064709E">
              <w:rPr>
                <w:rFonts w:cstheme="minorHAnsi"/>
                <w:bCs/>
              </w:rPr>
              <w:t xml:space="preserve"> Word</w:t>
            </w:r>
            <w:r w:rsidR="003C6991">
              <w:rPr>
                <w:rFonts w:cstheme="minorHAnsi"/>
                <w:bCs/>
              </w:rPr>
              <w:t>, PowerPoint</w:t>
            </w:r>
            <w:r w:rsidR="00C2753A">
              <w:rPr>
                <w:rFonts w:cstheme="minorHAnsi"/>
                <w:bCs/>
              </w:rPr>
              <w:t>,</w:t>
            </w:r>
            <w:r w:rsidR="00E93320">
              <w:rPr>
                <w:rFonts w:cstheme="minorHAnsi"/>
                <w:bCs/>
              </w:rPr>
              <w:t xml:space="preserve"> advanced</w:t>
            </w:r>
            <w:r w:rsidR="00E3099D">
              <w:rPr>
                <w:rFonts w:cstheme="minorHAnsi"/>
                <w:bCs/>
              </w:rPr>
              <w:t xml:space="preserve"> level of experience in Microsoft</w:t>
            </w:r>
            <w:r w:rsidR="003C6991">
              <w:rPr>
                <w:rFonts w:cstheme="minorHAnsi"/>
                <w:bCs/>
              </w:rPr>
              <w:t xml:space="preserve"> Excel</w:t>
            </w:r>
            <w:r w:rsidR="00C2753A">
              <w:rPr>
                <w:rFonts w:cstheme="minorHAnsi"/>
                <w:bCs/>
              </w:rPr>
              <w:t xml:space="preserve"> and </w:t>
            </w:r>
            <w:r w:rsidR="00E96DC7">
              <w:rPr>
                <w:rFonts w:cstheme="minorHAnsi"/>
                <w:bCs/>
              </w:rPr>
              <w:t>SQL</w:t>
            </w:r>
          </w:p>
          <w:p w14:paraId="1BEDCA13" w14:textId="77777777" w:rsidR="0081023A" w:rsidRDefault="00277609" w:rsidP="00CB5B75">
            <w:pPr>
              <w:pStyle w:val="ListParagraph"/>
              <w:numPr>
                <w:ilvl w:val="0"/>
                <w:numId w:val="38"/>
              </w:numPr>
              <w:rPr>
                <w:rFonts w:cs="Arial"/>
                <w:sz w:val="22"/>
                <w:szCs w:val="22"/>
              </w:rPr>
            </w:pPr>
            <w:r>
              <w:rPr>
                <w:rFonts w:cs="Arial"/>
                <w:sz w:val="22"/>
                <w:szCs w:val="22"/>
              </w:rPr>
              <w:lastRenderedPageBreak/>
              <w:t>Ability to prioritise workload within a pressurised environment and meet required deadlines</w:t>
            </w:r>
          </w:p>
          <w:p w14:paraId="60F265B3" w14:textId="089320DF" w:rsidR="00277609" w:rsidRPr="00CB5B75" w:rsidRDefault="00C806BD" w:rsidP="00CB5B75">
            <w:pPr>
              <w:pStyle w:val="ListParagraph"/>
              <w:numPr>
                <w:ilvl w:val="0"/>
                <w:numId w:val="38"/>
              </w:numPr>
              <w:rPr>
                <w:rFonts w:cs="Arial"/>
                <w:sz w:val="22"/>
                <w:szCs w:val="22"/>
              </w:rPr>
            </w:pPr>
            <w:r>
              <w:rPr>
                <w:rFonts w:cs="Arial"/>
                <w:sz w:val="22"/>
                <w:szCs w:val="22"/>
              </w:rPr>
              <w:t>High level of nume</w:t>
            </w:r>
            <w:r w:rsidR="0092029D">
              <w:rPr>
                <w:rFonts w:cs="Arial"/>
                <w:sz w:val="22"/>
                <w:szCs w:val="22"/>
              </w:rPr>
              <w:t>racy</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4A46DC37" w14:textId="7C71649B" w:rsidR="00B34D82" w:rsidRPr="00E3099D" w:rsidRDefault="00DC0D6D" w:rsidP="00E3099D">
            <w:pPr>
              <w:pStyle w:val="ListParagraph"/>
              <w:numPr>
                <w:ilvl w:val="0"/>
                <w:numId w:val="38"/>
              </w:numPr>
              <w:rPr>
                <w:rFonts w:cs="Arial"/>
                <w:sz w:val="22"/>
                <w:szCs w:val="22"/>
              </w:rPr>
            </w:pPr>
            <w:r>
              <w:rPr>
                <w:rFonts w:cs="Arial"/>
                <w:sz w:val="22"/>
                <w:szCs w:val="22"/>
              </w:rPr>
              <w:lastRenderedPageBreak/>
              <w:t xml:space="preserve">Knowledge of </w:t>
            </w:r>
            <w:r w:rsidR="00C854A4">
              <w:rPr>
                <w:rFonts w:cs="Arial"/>
                <w:sz w:val="22"/>
                <w:szCs w:val="22"/>
              </w:rPr>
              <w:t>VBA</w:t>
            </w:r>
          </w:p>
        </w:tc>
      </w:tr>
      <w:tr w:rsidR="000E6C81" w:rsidRPr="00C452CD"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7C01B4" w:rsidRDefault="000E6C81" w:rsidP="005C7264">
            <w:pPr>
              <w:rPr>
                <w:rFonts w:cs="Arial"/>
                <w:b/>
                <w:bCs/>
                <w:color w:val="FF0000"/>
                <w:sz w:val="22"/>
                <w:szCs w:val="22"/>
              </w:rPr>
            </w:pPr>
            <w:r w:rsidRPr="007C01B4">
              <w:rPr>
                <w:rFonts w:cs="Arial"/>
                <w:b/>
                <w:bCs/>
              </w:rPr>
              <w:t>Qualifications and/or professional membership</w:t>
            </w:r>
            <w:r>
              <w:rPr>
                <w:rFonts w:cs="Arial"/>
                <w:b/>
                <w:bCs/>
              </w:rPr>
              <w:t xml:space="preserve"> </w:t>
            </w:r>
          </w:p>
        </w:tc>
      </w:tr>
      <w:tr w:rsidR="00B34D82" w:rsidRPr="00C452CD" w14:paraId="3FDABCE9" w14:textId="77777777" w:rsidTr="006E5964">
        <w:trPr>
          <w:trHeight w:val="322"/>
          <w:tblCellSpacing w:w="20" w:type="dxa"/>
        </w:trPr>
        <w:tc>
          <w:tcPr>
            <w:tcW w:w="2383" w:type="pct"/>
            <w:tcBorders>
              <w:top w:val="outset" w:sz="6" w:space="0" w:color="auto"/>
              <w:bottom w:val="outset" w:sz="6" w:space="0" w:color="auto"/>
              <w:right w:val="outset" w:sz="6" w:space="0" w:color="auto"/>
            </w:tcBorders>
            <w:shd w:val="clear" w:color="auto" w:fill="auto"/>
          </w:tcPr>
          <w:p w14:paraId="117C96A3" w14:textId="77777777" w:rsidR="00B34D82" w:rsidRDefault="00B34D82" w:rsidP="005C7264">
            <w:pPr>
              <w:rPr>
                <w:rFonts w:cs="Arial"/>
                <w:sz w:val="22"/>
                <w:szCs w:val="22"/>
              </w:rPr>
            </w:pPr>
            <w:r w:rsidRPr="00A94BE0">
              <w:rPr>
                <w:rFonts w:cs="Arial"/>
                <w:b/>
                <w:bCs/>
                <w:sz w:val="22"/>
                <w:szCs w:val="22"/>
              </w:rPr>
              <w:t xml:space="preserve">Essential </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0BD49FD1" w14:textId="77777777" w:rsidTr="006E5964">
        <w:trPr>
          <w:trHeight w:val="500"/>
          <w:tblCellSpacing w:w="20" w:type="dxa"/>
        </w:trPr>
        <w:tc>
          <w:tcPr>
            <w:tcW w:w="2383" w:type="pct"/>
            <w:tcBorders>
              <w:top w:val="outset" w:sz="6" w:space="0" w:color="auto"/>
              <w:right w:val="outset" w:sz="6" w:space="0" w:color="auto"/>
            </w:tcBorders>
            <w:shd w:val="clear" w:color="auto" w:fill="auto"/>
          </w:tcPr>
          <w:p w14:paraId="458E07F1" w14:textId="3B094AB1" w:rsidR="00B34D82" w:rsidRPr="0050587A" w:rsidRDefault="0050587A" w:rsidP="0050587A">
            <w:pPr>
              <w:pStyle w:val="ListParagraph"/>
              <w:numPr>
                <w:ilvl w:val="0"/>
                <w:numId w:val="39"/>
              </w:numPr>
              <w:rPr>
                <w:rFonts w:cs="Arial"/>
                <w:sz w:val="22"/>
                <w:szCs w:val="22"/>
              </w:rPr>
            </w:pPr>
            <w:r>
              <w:rPr>
                <w:rFonts w:cs="Arial"/>
                <w:sz w:val="22"/>
                <w:szCs w:val="22"/>
              </w:rPr>
              <w:t xml:space="preserve">Actively working towards </w:t>
            </w:r>
            <w:r w:rsidR="0080192C">
              <w:rPr>
                <w:rFonts w:cs="Arial"/>
                <w:sz w:val="22"/>
                <w:szCs w:val="22"/>
              </w:rPr>
              <w:t>a CCAB recognised accounting body</w:t>
            </w:r>
            <w:r w:rsidR="00684A3F">
              <w:rPr>
                <w:rFonts w:cs="Arial"/>
                <w:sz w:val="22"/>
                <w:szCs w:val="22"/>
              </w:rPr>
              <w:t xml:space="preserve"> (</w:t>
            </w:r>
            <w:r w:rsidR="00DB1F4A">
              <w:rPr>
                <w:rFonts w:cs="Arial"/>
                <w:sz w:val="22"/>
                <w:szCs w:val="22"/>
              </w:rPr>
              <w:t>Later stages or f</w:t>
            </w:r>
            <w:r w:rsidR="00684A3F">
              <w:rPr>
                <w:rFonts w:cs="Arial"/>
                <w:sz w:val="22"/>
                <w:szCs w:val="22"/>
              </w:rPr>
              <w:t>inalist)</w:t>
            </w:r>
          </w:p>
        </w:tc>
        <w:tc>
          <w:tcPr>
            <w:tcW w:w="2559" w:type="pct"/>
            <w:tcBorders>
              <w:top w:val="outset" w:sz="6" w:space="0" w:color="auto"/>
              <w:left w:val="outset" w:sz="6" w:space="0" w:color="auto"/>
              <w:right w:val="outset" w:sz="6" w:space="0" w:color="auto"/>
            </w:tcBorders>
            <w:shd w:val="clear" w:color="auto" w:fill="auto"/>
          </w:tcPr>
          <w:p w14:paraId="71B3E2B2" w14:textId="77777777" w:rsidR="00B34D82" w:rsidRDefault="00B34D82" w:rsidP="005C7264">
            <w:pPr>
              <w:rPr>
                <w:rFonts w:cs="Arial"/>
                <w:sz w:val="22"/>
                <w:szCs w:val="22"/>
              </w:rPr>
            </w:pPr>
          </w:p>
        </w:tc>
      </w:tr>
    </w:tbl>
    <w:p w14:paraId="79E2E633" w14:textId="77777777" w:rsidR="00B34D82" w:rsidRPr="00817CEF"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383310"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383310" w:rsidRDefault="00E32669" w:rsidP="009E3262">
            <w:pPr>
              <w:spacing w:after="60"/>
              <w:rPr>
                <w:rFonts w:cs="Arial"/>
                <w:b/>
              </w:rPr>
            </w:pPr>
            <w:bookmarkStart w:id="1" w:name="_Hlk85460917"/>
            <w:r w:rsidRPr="00977D19">
              <w:rPr>
                <w:rFonts w:cs="Arial"/>
                <w:b/>
                <w:color w:val="FFFFFF" w:themeColor="background1"/>
              </w:rPr>
              <w:t xml:space="preserve">NHG Expectations </w:t>
            </w:r>
          </w:p>
        </w:tc>
      </w:tr>
      <w:tr w:rsidR="00144690" w:rsidRPr="00383310" w14:paraId="1106E959" w14:textId="77777777" w:rsidTr="00426035">
        <w:trPr>
          <w:trHeight w:val="1837"/>
          <w:tblCellSpacing w:w="20" w:type="dxa"/>
        </w:trPr>
        <w:tc>
          <w:tcPr>
            <w:tcW w:w="4962" w:type="pct"/>
            <w:shd w:val="clear" w:color="auto" w:fill="auto"/>
          </w:tcPr>
          <w:p w14:paraId="77AE5755" w14:textId="733D26F4" w:rsidR="003C18E1" w:rsidRDefault="00144690" w:rsidP="008809D4">
            <w:pPr>
              <w:rPr>
                <w:rFonts w:cs="Arial"/>
                <w:sz w:val="22"/>
                <w:szCs w:val="22"/>
              </w:rPr>
            </w:pPr>
            <w:r w:rsidRPr="00713A36">
              <w:rPr>
                <w:rFonts w:cs="Arial"/>
                <w:sz w:val="22"/>
                <w:szCs w:val="22"/>
              </w:rPr>
              <w:t xml:space="preserve">NHG expectations framework </w:t>
            </w:r>
            <w:r>
              <w:rPr>
                <w:rFonts w:cs="Arial"/>
                <w:sz w:val="22"/>
                <w:szCs w:val="22"/>
              </w:rPr>
              <w:t>outlines what we expect</w:t>
            </w:r>
            <w:r w:rsidR="00167FF4">
              <w:rPr>
                <w:rFonts w:cs="Arial"/>
                <w:sz w:val="22"/>
                <w:szCs w:val="22"/>
              </w:rPr>
              <w:t xml:space="preserve"> </w:t>
            </w:r>
            <w:r>
              <w:rPr>
                <w:rFonts w:cs="Arial"/>
                <w:sz w:val="22"/>
                <w:szCs w:val="22"/>
              </w:rPr>
              <w:t xml:space="preserve">from </w:t>
            </w:r>
            <w:r w:rsidR="00616BB7">
              <w:rPr>
                <w:rFonts w:cs="Arial"/>
                <w:sz w:val="22"/>
                <w:szCs w:val="22"/>
              </w:rPr>
              <w:t>our</w:t>
            </w:r>
            <w:r w:rsidR="00167FF4">
              <w:rPr>
                <w:rFonts w:cs="Arial"/>
                <w:sz w:val="22"/>
                <w:szCs w:val="22"/>
              </w:rPr>
              <w:t xml:space="preserve"> staff at </w:t>
            </w:r>
            <w:r>
              <w:rPr>
                <w:rFonts w:cs="Arial"/>
                <w:sz w:val="22"/>
                <w:szCs w:val="22"/>
              </w:rPr>
              <w:t xml:space="preserve">the </w:t>
            </w:r>
            <w:r w:rsidR="00167FF4">
              <w:rPr>
                <w:rFonts w:cs="Arial"/>
                <w:sz w:val="22"/>
                <w:szCs w:val="22"/>
              </w:rPr>
              <w:t>five different</w:t>
            </w:r>
            <w:r>
              <w:rPr>
                <w:rFonts w:cs="Arial"/>
                <w:sz w:val="22"/>
                <w:szCs w:val="22"/>
              </w:rPr>
              <w:t xml:space="preserve"> </w:t>
            </w:r>
            <w:r w:rsidR="003C18E1">
              <w:rPr>
                <w:rFonts w:cs="Arial"/>
                <w:sz w:val="22"/>
                <w:szCs w:val="22"/>
              </w:rPr>
              <w:t>expectation</w:t>
            </w:r>
            <w:r>
              <w:rPr>
                <w:rFonts w:cs="Arial"/>
                <w:sz w:val="22"/>
                <w:szCs w:val="22"/>
              </w:rPr>
              <w:t xml:space="preserve"> level</w:t>
            </w:r>
            <w:r w:rsidR="00616BB7">
              <w:rPr>
                <w:rFonts w:cs="Arial"/>
                <w:sz w:val="22"/>
                <w:szCs w:val="22"/>
              </w:rPr>
              <w:t>s</w:t>
            </w:r>
            <w:r>
              <w:rPr>
                <w:rFonts w:cs="Arial"/>
                <w:sz w:val="22"/>
                <w:szCs w:val="22"/>
              </w:rPr>
              <w:t xml:space="preserve"> we </w:t>
            </w:r>
            <w:r w:rsidR="003C18E1">
              <w:rPr>
                <w:rFonts w:cs="Arial"/>
                <w:sz w:val="22"/>
                <w:szCs w:val="22"/>
              </w:rPr>
              <w:t>have across the organisation.</w:t>
            </w:r>
          </w:p>
          <w:p w14:paraId="5C6411A6" w14:textId="77777777" w:rsidR="003C18E1" w:rsidRDefault="003C18E1" w:rsidP="008809D4">
            <w:pPr>
              <w:rPr>
                <w:rFonts w:cs="Arial"/>
                <w:sz w:val="22"/>
                <w:szCs w:val="22"/>
                <w:lang w:eastAsia="en-GB"/>
              </w:rPr>
            </w:pPr>
          </w:p>
          <w:p w14:paraId="50352683" w14:textId="50B89D31" w:rsidR="00616BB7" w:rsidRDefault="003C18E1" w:rsidP="008809D4">
            <w:pPr>
              <w:rPr>
                <w:rFonts w:cs="Arial"/>
                <w:sz w:val="22"/>
                <w:szCs w:val="22"/>
                <w:lang w:eastAsia="en-GB"/>
              </w:rPr>
            </w:pPr>
            <w:r>
              <w:rPr>
                <w:rFonts w:cs="Arial"/>
                <w:sz w:val="22"/>
                <w:szCs w:val="22"/>
                <w:lang w:eastAsia="en-GB"/>
              </w:rPr>
              <w:t>Th</w:t>
            </w:r>
            <w:r w:rsidR="00C72A7A">
              <w:rPr>
                <w:rFonts w:cs="Arial"/>
                <w:sz w:val="22"/>
                <w:szCs w:val="22"/>
                <w:lang w:eastAsia="en-GB"/>
              </w:rPr>
              <w:t>is</w:t>
            </w:r>
            <w:r>
              <w:rPr>
                <w:rFonts w:cs="Arial"/>
                <w:sz w:val="22"/>
                <w:szCs w:val="22"/>
                <w:lang w:eastAsia="en-GB"/>
              </w:rPr>
              <w:t xml:space="preserve"> role is a </w:t>
            </w:r>
            <w:r w:rsidR="000374BB">
              <w:rPr>
                <w:rFonts w:cs="Arial"/>
                <w:sz w:val="22"/>
                <w:szCs w:val="22"/>
                <w:lang w:eastAsia="en-GB"/>
              </w:rPr>
              <w:t>colleague</w:t>
            </w:r>
            <w:r w:rsidR="00C72A7A" w:rsidRPr="00ED2631">
              <w:rPr>
                <w:rFonts w:cs="Arial"/>
                <w:b/>
                <w:bCs/>
                <w:color w:val="FF0000"/>
                <w:sz w:val="22"/>
                <w:szCs w:val="22"/>
                <w:lang w:eastAsia="en-GB"/>
              </w:rPr>
              <w:t xml:space="preserve"> </w:t>
            </w:r>
            <w:r w:rsidR="00C72A7A">
              <w:rPr>
                <w:rFonts w:cs="Arial"/>
                <w:sz w:val="22"/>
                <w:szCs w:val="22"/>
                <w:lang w:eastAsia="en-GB"/>
              </w:rPr>
              <w:t xml:space="preserve">expectation level and therefore you should refer to the </w:t>
            </w:r>
            <w:r w:rsidR="000374BB">
              <w:rPr>
                <w:rFonts w:cs="Arial"/>
                <w:sz w:val="22"/>
                <w:szCs w:val="22"/>
                <w:lang w:eastAsia="en-GB"/>
              </w:rPr>
              <w:t>colleague</w:t>
            </w:r>
            <w:r w:rsidR="00ED2631" w:rsidRPr="00ED2631">
              <w:rPr>
                <w:rFonts w:cs="Arial"/>
                <w:b/>
                <w:bCs/>
                <w:color w:val="FF0000"/>
                <w:sz w:val="22"/>
                <w:szCs w:val="22"/>
                <w:lang w:eastAsia="en-GB"/>
              </w:rPr>
              <w:t xml:space="preserve"> </w:t>
            </w:r>
            <w:r w:rsidR="00C72A7A">
              <w:rPr>
                <w:rFonts w:cs="Arial"/>
                <w:sz w:val="22"/>
                <w:szCs w:val="22"/>
                <w:lang w:eastAsia="en-GB"/>
              </w:rPr>
              <w:t>expectation profile</w:t>
            </w:r>
            <w:r w:rsidR="0050398C">
              <w:rPr>
                <w:rFonts w:cs="Arial"/>
                <w:sz w:val="22"/>
                <w:szCs w:val="22"/>
                <w:lang w:eastAsia="en-GB"/>
              </w:rPr>
              <w:t xml:space="preserve"> in addition to this role profile</w:t>
            </w:r>
            <w:r w:rsidR="009B244B">
              <w:rPr>
                <w:rFonts w:cs="Arial"/>
                <w:sz w:val="22"/>
                <w:szCs w:val="22"/>
                <w:lang w:eastAsia="en-GB"/>
              </w:rPr>
              <w:t xml:space="preserve">. </w:t>
            </w:r>
          </w:p>
          <w:p w14:paraId="5742C629" w14:textId="77777777" w:rsidR="00616BB7" w:rsidRDefault="00616BB7" w:rsidP="008809D4">
            <w:pPr>
              <w:rPr>
                <w:rFonts w:cs="Arial"/>
                <w:sz w:val="22"/>
                <w:szCs w:val="22"/>
                <w:lang w:eastAsia="en-GB"/>
              </w:rPr>
            </w:pPr>
          </w:p>
          <w:p w14:paraId="5C9D13A1" w14:textId="5BC97C15" w:rsidR="00144690" w:rsidRPr="00C452CD" w:rsidRDefault="00144690" w:rsidP="008809D4">
            <w:pPr>
              <w:rPr>
                <w:rFonts w:cs="Arial"/>
                <w:sz w:val="22"/>
                <w:szCs w:val="22"/>
                <w:lang w:eastAsia="en-GB"/>
              </w:rPr>
            </w:pPr>
            <w:r>
              <w:rPr>
                <w:rFonts w:eastAsia="Times New Roman" w:cs="Arial"/>
                <w:sz w:val="22"/>
                <w:szCs w:val="22"/>
                <w:lang w:eastAsia="en-GB"/>
              </w:rPr>
              <w:t>T</w:t>
            </w:r>
            <w:r w:rsidRPr="00A954DD">
              <w:rPr>
                <w:rFonts w:eastAsia="Times New Roman" w:cs="Arial"/>
                <w:sz w:val="22"/>
                <w:szCs w:val="22"/>
                <w:lang w:eastAsia="en-GB"/>
              </w:rPr>
              <w:t xml:space="preserve">he full NHG expectations framework is available on our </w:t>
            </w:r>
            <w:r w:rsidR="0029737C">
              <w:rPr>
                <w:rFonts w:eastAsia="Times New Roman" w:cs="Arial"/>
                <w:sz w:val="22"/>
                <w:szCs w:val="22"/>
                <w:lang w:eastAsia="en-GB"/>
              </w:rPr>
              <w:t>external job</w:t>
            </w:r>
            <w:r w:rsidRPr="00A954DD">
              <w:rPr>
                <w:rFonts w:eastAsia="Times New Roman" w:cs="Arial"/>
                <w:sz w:val="22"/>
                <w:szCs w:val="22"/>
                <w:lang w:eastAsia="en-GB"/>
              </w:rPr>
              <w:t xml:space="preserve"> site</w:t>
            </w:r>
            <w:r w:rsidR="0029737C">
              <w:rPr>
                <w:rFonts w:eastAsia="Times New Roman" w:cs="Arial"/>
                <w:sz w:val="22"/>
                <w:szCs w:val="22"/>
                <w:lang w:eastAsia="en-GB"/>
              </w:rPr>
              <w:t xml:space="preserve"> page</w:t>
            </w:r>
            <w:r w:rsidRPr="00A954DD">
              <w:rPr>
                <w:rFonts w:eastAsia="Times New Roman" w:cs="Arial"/>
                <w:sz w:val="22"/>
                <w:szCs w:val="22"/>
                <w:lang w:eastAsia="en-GB"/>
              </w:rPr>
              <w:t xml:space="preserve"> and intranet, Milo</w:t>
            </w:r>
            <w:r>
              <w:rPr>
                <w:rFonts w:eastAsia="Times New Roman" w:cs="Arial"/>
                <w:sz w:val="22"/>
                <w:szCs w:val="22"/>
                <w:lang w:eastAsia="en-GB"/>
              </w:rPr>
              <w:t>.</w:t>
            </w:r>
          </w:p>
        </w:tc>
      </w:tr>
      <w:bookmarkEnd w:id="1"/>
    </w:tbl>
    <w:p w14:paraId="3E8603E1" w14:textId="364FAD73" w:rsidR="00E53544" w:rsidRDefault="00E53544"/>
    <w:p w14:paraId="2F7992D0" w14:textId="777F3D4F" w:rsidR="00E53544" w:rsidRDefault="00EB4596">
      <w:r w:rsidRPr="00713A36">
        <w:rPr>
          <w:rFonts w:cs="Arial"/>
          <w:sz w:val="22"/>
          <w:szCs w:val="22"/>
        </w:rPr>
        <w:t>You’ll be assessed on the</w:t>
      </w:r>
      <w:r w:rsidR="003E3540">
        <w:rPr>
          <w:rFonts w:cs="Arial"/>
          <w:sz w:val="22"/>
          <w:szCs w:val="22"/>
        </w:rPr>
        <w:t xml:space="preserve"> knowledge, experience, </w:t>
      </w:r>
      <w:r w:rsidR="009C178B">
        <w:rPr>
          <w:rFonts w:cs="Arial"/>
          <w:sz w:val="22"/>
          <w:szCs w:val="22"/>
        </w:rPr>
        <w:t>skills,</w:t>
      </w:r>
      <w:r w:rsidR="003E3540">
        <w:rPr>
          <w:rFonts w:cs="Arial"/>
          <w:sz w:val="22"/>
          <w:szCs w:val="22"/>
        </w:rPr>
        <w:t xml:space="preserve"> and expectations </w:t>
      </w:r>
      <w:r w:rsidRPr="00713A36">
        <w:rPr>
          <w:rFonts w:cs="Arial"/>
          <w:sz w:val="22"/>
          <w:szCs w:val="22"/>
        </w:rPr>
        <w:t xml:space="preserve">criteria at various stages throughout the selection process.  </w:t>
      </w:r>
    </w:p>
    <w:p w14:paraId="7C693ED8" w14:textId="6C9CDAB4" w:rsidR="001331AE" w:rsidRDefault="001331AE" w:rsidP="00A92290"/>
    <w:p w14:paraId="587F1D81" w14:textId="77777777" w:rsidR="001331AE" w:rsidRPr="00A92290" w:rsidRDefault="001331AE" w:rsidP="00A92290"/>
    <w:sectPr w:rsidR="001331AE" w:rsidRPr="00A92290"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0ADF" w14:textId="77777777" w:rsidR="008A2E72" w:rsidRDefault="008A2E72">
      <w:r>
        <w:separator/>
      </w:r>
    </w:p>
  </w:endnote>
  <w:endnote w:type="continuationSeparator" w:id="0">
    <w:p w14:paraId="20245359" w14:textId="77777777" w:rsidR="008A2E72" w:rsidRDefault="008A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6BF71E5B" w:rsidR="00B30F7E" w:rsidRDefault="003523FA" w:rsidP="00B30F7E">
            <w:pPr>
              <w:pStyle w:val="Footer"/>
              <w:jc w:val="center"/>
            </w:pPr>
            <w:r>
              <w:t>Version Control:  September 2022</w:t>
            </w:r>
          </w:p>
          <w:p w14:paraId="1B78878C" w14:textId="3DF6DB13" w:rsidR="00E53544" w:rsidRDefault="00B30F7E" w:rsidP="00B30F7E">
            <w:pPr>
              <w:pStyle w:val="Footer"/>
              <w:jc w:val="center"/>
            </w:pPr>
            <w:r>
              <w:tab/>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2B30" w14:textId="77777777" w:rsidR="008A2E72" w:rsidRDefault="008A2E72">
      <w:r>
        <w:separator/>
      </w:r>
    </w:p>
  </w:footnote>
  <w:footnote w:type="continuationSeparator" w:id="0">
    <w:p w14:paraId="0D34528E" w14:textId="77777777" w:rsidR="008A2E72" w:rsidRDefault="008A2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7FD5" w14:textId="59554A62" w:rsidR="00682BCC"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7CE"/>
    <w:multiLevelType w:val="hybridMultilevel"/>
    <w:tmpl w:val="99A0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1A3FF8"/>
    <w:multiLevelType w:val="hybridMultilevel"/>
    <w:tmpl w:val="3BB023B6"/>
    <w:lvl w:ilvl="0" w:tplc="E17E2D3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C246F"/>
    <w:multiLevelType w:val="hybridMultilevel"/>
    <w:tmpl w:val="B5DA1E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242ACE"/>
    <w:multiLevelType w:val="hybridMultilevel"/>
    <w:tmpl w:val="3E6E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C7DA5"/>
    <w:multiLevelType w:val="hybridMultilevel"/>
    <w:tmpl w:val="A5A64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1"/>
  </w:num>
  <w:num w:numId="3">
    <w:abstractNumId w:val="13"/>
  </w:num>
  <w:num w:numId="4">
    <w:abstractNumId w:val="18"/>
  </w:num>
  <w:num w:numId="5">
    <w:abstractNumId w:val="25"/>
  </w:num>
  <w:num w:numId="6">
    <w:abstractNumId w:val="24"/>
  </w:num>
  <w:num w:numId="7">
    <w:abstractNumId w:val="22"/>
  </w:num>
  <w:num w:numId="8">
    <w:abstractNumId w:val="34"/>
  </w:num>
  <w:num w:numId="9">
    <w:abstractNumId w:val="21"/>
  </w:num>
  <w:num w:numId="10">
    <w:abstractNumId w:val="28"/>
  </w:num>
  <w:num w:numId="11">
    <w:abstractNumId w:val="31"/>
  </w:num>
  <w:num w:numId="12">
    <w:abstractNumId w:val="36"/>
  </w:num>
  <w:num w:numId="13">
    <w:abstractNumId w:val="30"/>
  </w:num>
  <w:num w:numId="14">
    <w:abstractNumId w:val="29"/>
  </w:num>
  <w:num w:numId="15">
    <w:abstractNumId w:val="33"/>
  </w:num>
  <w:num w:numId="16">
    <w:abstractNumId w:val="12"/>
  </w:num>
  <w:num w:numId="17">
    <w:abstractNumId w:val="14"/>
  </w:num>
  <w:num w:numId="18">
    <w:abstractNumId w:val="7"/>
  </w:num>
  <w:num w:numId="19">
    <w:abstractNumId w:val="20"/>
  </w:num>
  <w:num w:numId="20">
    <w:abstractNumId w:val="35"/>
  </w:num>
  <w:num w:numId="21">
    <w:abstractNumId w:val="3"/>
  </w:num>
  <w:num w:numId="22">
    <w:abstractNumId w:val="5"/>
  </w:num>
  <w:num w:numId="23">
    <w:abstractNumId w:val="10"/>
  </w:num>
  <w:num w:numId="24">
    <w:abstractNumId w:val="4"/>
  </w:num>
  <w:num w:numId="25">
    <w:abstractNumId w:val="1"/>
  </w:num>
  <w:num w:numId="26">
    <w:abstractNumId w:val="37"/>
  </w:num>
  <w:num w:numId="27">
    <w:abstractNumId w:val="17"/>
  </w:num>
  <w:num w:numId="28">
    <w:abstractNumId w:val="15"/>
  </w:num>
  <w:num w:numId="29">
    <w:abstractNumId w:val="6"/>
  </w:num>
  <w:num w:numId="30">
    <w:abstractNumId w:val="9"/>
  </w:num>
  <w:num w:numId="31">
    <w:abstractNumId w:val="19"/>
  </w:num>
  <w:num w:numId="32">
    <w:abstractNumId w:val="23"/>
  </w:num>
  <w:num w:numId="33">
    <w:abstractNumId w:val="27"/>
  </w:num>
  <w:num w:numId="34">
    <w:abstractNumId w:val="8"/>
  </w:num>
  <w:num w:numId="35">
    <w:abstractNumId w:val="2"/>
  </w:num>
  <w:num w:numId="36">
    <w:abstractNumId w:val="38"/>
  </w:num>
  <w:num w:numId="37">
    <w:abstractNumId w:val="32"/>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41C8"/>
    <w:rsid w:val="00017270"/>
    <w:rsid w:val="00017A81"/>
    <w:rsid w:val="00021151"/>
    <w:rsid w:val="00022D5C"/>
    <w:rsid w:val="00030AF8"/>
    <w:rsid w:val="00033BA8"/>
    <w:rsid w:val="00035D70"/>
    <w:rsid w:val="000374BB"/>
    <w:rsid w:val="00052A05"/>
    <w:rsid w:val="00093179"/>
    <w:rsid w:val="000A2711"/>
    <w:rsid w:val="000B0CA6"/>
    <w:rsid w:val="000B2756"/>
    <w:rsid w:val="000B29CB"/>
    <w:rsid w:val="000C0615"/>
    <w:rsid w:val="000C492F"/>
    <w:rsid w:val="000C7EC8"/>
    <w:rsid w:val="000D37DB"/>
    <w:rsid w:val="000D4B3F"/>
    <w:rsid w:val="000E45A6"/>
    <w:rsid w:val="000E6C81"/>
    <w:rsid w:val="000F6F94"/>
    <w:rsid w:val="00122BDD"/>
    <w:rsid w:val="001250DB"/>
    <w:rsid w:val="001331AE"/>
    <w:rsid w:val="001444C5"/>
    <w:rsid w:val="00144690"/>
    <w:rsid w:val="001511A6"/>
    <w:rsid w:val="00153FDB"/>
    <w:rsid w:val="00167FF4"/>
    <w:rsid w:val="001838F0"/>
    <w:rsid w:val="0019359E"/>
    <w:rsid w:val="001A2CC1"/>
    <w:rsid w:val="001C21D0"/>
    <w:rsid w:val="001E6575"/>
    <w:rsid w:val="001E76D5"/>
    <w:rsid w:val="0020135B"/>
    <w:rsid w:val="00214817"/>
    <w:rsid w:val="0021614B"/>
    <w:rsid w:val="00227C0D"/>
    <w:rsid w:val="0024102B"/>
    <w:rsid w:val="00252D5C"/>
    <w:rsid w:val="002536AC"/>
    <w:rsid w:val="00266069"/>
    <w:rsid w:val="0027624B"/>
    <w:rsid w:val="00277609"/>
    <w:rsid w:val="002871E4"/>
    <w:rsid w:val="0029737C"/>
    <w:rsid w:val="00297B5C"/>
    <w:rsid w:val="002C6E63"/>
    <w:rsid w:val="002D635D"/>
    <w:rsid w:val="002E2781"/>
    <w:rsid w:val="002E4467"/>
    <w:rsid w:val="002E65E7"/>
    <w:rsid w:val="003203BB"/>
    <w:rsid w:val="00332AB1"/>
    <w:rsid w:val="0034108E"/>
    <w:rsid w:val="00347112"/>
    <w:rsid w:val="003523FA"/>
    <w:rsid w:val="003537B2"/>
    <w:rsid w:val="00356548"/>
    <w:rsid w:val="0036708F"/>
    <w:rsid w:val="00372FC9"/>
    <w:rsid w:val="003755C2"/>
    <w:rsid w:val="00383310"/>
    <w:rsid w:val="0039145F"/>
    <w:rsid w:val="00391CA8"/>
    <w:rsid w:val="003B6F57"/>
    <w:rsid w:val="003C10F8"/>
    <w:rsid w:val="003C18E1"/>
    <w:rsid w:val="003C6991"/>
    <w:rsid w:val="003C6B88"/>
    <w:rsid w:val="003C76E9"/>
    <w:rsid w:val="003D2957"/>
    <w:rsid w:val="003D50B6"/>
    <w:rsid w:val="003E3540"/>
    <w:rsid w:val="003F5381"/>
    <w:rsid w:val="003F62FB"/>
    <w:rsid w:val="00406C4E"/>
    <w:rsid w:val="0041691F"/>
    <w:rsid w:val="004233A7"/>
    <w:rsid w:val="00426035"/>
    <w:rsid w:val="00444FB8"/>
    <w:rsid w:val="0044597D"/>
    <w:rsid w:val="004547CB"/>
    <w:rsid w:val="00497CFD"/>
    <w:rsid w:val="004F2BF9"/>
    <w:rsid w:val="005016AA"/>
    <w:rsid w:val="0050398C"/>
    <w:rsid w:val="0050587A"/>
    <w:rsid w:val="00511E8E"/>
    <w:rsid w:val="005532DF"/>
    <w:rsid w:val="00553C8A"/>
    <w:rsid w:val="005546F2"/>
    <w:rsid w:val="00557116"/>
    <w:rsid w:val="005678B5"/>
    <w:rsid w:val="005A647B"/>
    <w:rsid w:val="005A6EBA"/>
    <w:rsid w:val="005B2B31"/>
    <w:rsid w:val="005B4673"/>
    <w:rsid w:val="005B58AA"/>
    <w:rsid w:val="005C1BAE"/>
    <w:rsid w:val="005D5D70"/>
    <w:rsid w:val="00607D70"/>
    <w:rsid w:val="00616BB7"/>
    <w:rsid w:val="00644EEA"/>
    <w:rsid w:val="00645B42"/>
    <w:rsid w:val="0064709E"/>
    <w:rsid w:val="00663AB9"/>
    <w:rsid w:val="00665310"/>
    <w:rsid w:val="006831C9"/>
    <w:rsid w:val="00684A3F"/>
    <w:rsid w:val="00692D90"/>
    <w:rsid w:val="0069725C"/>
    <w:rsid w:val="006A0C09"/>
    <w:rsid w:val="006B34CF"/>
    <w:rsid w:val="006E3840"/>
    <w:rsid w:val="006E5964"/>
    <w:rsid w:val="00701000"/>
    <w:rsid w:val="00713A36"/>
    <w:rsid w:val="007203C0"/>
    <w:rsid w:val="0072135D"/>
    <w:rsid w:val="0073007A"/>
    <w:rsid w:val="00791820"/>
    <w:rsid w:val="007919A2"/>
    <w:rsid w:val="00792A9B"/>
    <w:rsid w:val="00794C18"/>
    <w:rsid w:val="00794EC6"/>
    <w:rsid w:val="00796B79"/>
    <w:rsid w:val="007C10C0"/>
    <w:rsid w:val="007C20B1"/>
    <w:rsid w:val="007C20C2"/>
    <w:rsid w:val="007C78C8"/>
    <w:rsid w:val="007D686F"/>
    <w:rsid w:val="007E5801"/>
    <w:rsid w:val="007F451A"/>
    <w:rsid w:val="0080192C"/>
    <w:rsid w:val="008075EA"/>
    <w:rsid w:val="0081023A"/>
    <w:rsid w:val="0081396F"/>
    <w:rsid w:val="00817CEF"/>
    <w:rsid w:val="00826187"/>
    <w:rsid w:val="00850DC1"/>
    <w:rsid w:val="00862608"/>
    <w:rsid w:val="008809D4"/>
    <w:rsid w:val="008863C2"/>
    <w:rsid w:val="008A2E72"/>
    <w:rsid w:val="008B12DE"/>
    <w:rsid w:val="008C6DEC"/>
    <w:rsid w:val="008D3C99"/>
    <w:rsid w:val="008E40B8"/>
    <w:rsid w:val="008E687C"/>
    <w:rsid w:val="00900EED"/>
    <w:rsid w:val="00903E1A"/>
    <w:rsid w:val="0090526B"/>
    <w:rsid w:val="009069E3"/>
    <w:rsid w:val="0092029D"/>
    <w:rsid w:val="00922D53"/>
    <w:rsid w:val="009355A8"/>
    <w:rsid w:val="009625BE"/>
    <w:rsid w:val="009651D9"/>
    <w:rsid w:val="00967F84"/>
    <w:rsid w:val="009721E6"/>
    <w:rsid w:val="009779FC"/>
    <w:rsid w:val="00977D19"/>
    <w:rsid w:val="00986FCE"/>
    <w:rsid w:val="00987736"/>
    <w:rsid w:val="009919C2"/>
    <w:rsid w:val="009B244B"/>
    <w:rsid w:val="009C10B4"/>
    <w:rsid w:val="009C178B"/>
    <w:rsid w:val="009C3FF6"/>
    <w:rsid w:val="009D0CE1"/>
    <w:rsid w:val="009F406B"/>
    <w:rsid w:val="00A50FDE"/>
    <w:rsid w:val="00A555F0"/>
    <w:rsid w:val="00A862ED"/>
    <w:rsid w:val="00A90E9D"/>
    <w:rsid w:val="00A92290"/>
    <w:rsid w:val="00A92D3E"/>
    <w:rsid w:val="00A94698"/>
    <w:rsid w:val="00A954DD"/>
    <w:rsid w:val="00AA2DBA"/>
    <w:rsid w:val="00AB3858"/>
    <w:rsid w:val="00AB4FF3"/>
    <w:rsid w:val="00AD4B34"/>
    <w:rsid w:val="00AE209A"/>
    <w:rsid w:val="00AF5864"/>
    <w:rsid w:val="00B15F1B"/>
    <w:rsid w:val="00B23172"/>
    <w:rsid w:val="00B30630"/>
    <w:rsid w:val="00B30F7E"/>
    <w:rsid w:val="00B34D82"/>
    <w:rsid w:val="00B42EAE"/>
    <w:rsid w:val="00B46453"/>
    <w:rsid w:val="00B504C7"/>
    <w:rsid w:val="00B71421"/>
    <w:rsid w:val="00B77076"/>
    <w:rsid w:val="00B815B0"/>
    <w:rsid w:val="00B92496"/>
    <w:rsid w:val="00BB04F7"/>
    <w:rsid w:val="00BB6F5B"/>
    <w:rsid w:val="00BC3C95"/>
    <w:rsid w:val="00BC5547"/>
    <w:rsid w:val="00BD3F7C"/>
    <w:rsid w:val="00BD4C99"/>
    <w:rsid w:val="00BF0B30"/>
    <w:rsid w:val="00BF0B84"/>
    <w:rsid w:val="00C03BBC"/>
    <w:rsid w:val="00C17D25"/>
    <w:rsid w:val="00C2753A"/>
    <w:rsid w:val="00C43C38"/>
    <w:rsid w:val="00C452CD"/>
    <w:rsid w:val="00C47E6B"/>
    <w:rsid w:val="00C51867"/>
    <w:rsid w:val="00C56539"/>
    <w:rsid w:val="00C623FB"/>
    <w:rsid w:val="00C72A7A"/>
    <w:rsid w:val="00C7525E"/>
    <w:rsid w:val="00C804D0"/>
    <w:rsid w:val="00C806BD"/>
    <w:rsid w:val="00C854A4"/>
    <w:rsid w:val="00C861C6"/>
    <w:rsid w:val="00C929EC"/>
    <w:rsid w:val="00C9577B"/>
    <w:rsid w:val="00C97F8B"/>
    <w:rsid w:val="00CA5A0E"/>
    <w:rsid w:val="00CB1B37"/>
    <w:rsid w:val="00CB5B75"/>
    <w:rsid w:val="00CC0179"/>
    <w:rsid w:val="00CC3165"/>
    <w:rsid w:val="00D01B51"/>
    <w:rsid w:val="00D11ECB"/>
    <w:rsid w:val="00D149A1"/>
    <w:rsid w:val="00D15045"/>
    <w:rsid w:val="00D2727B"/>
    <w:rsid w:val="00D311A8"/>
    <w:rsid w:val="00D40049"/>
    <w:rsid w:val="00D50722"/>
    <w:rsid w:val="00D53E71"/>
    <w:rsid w:val="00D679F7"/>
    <w:rsid w:val="00D73F27"/>
    <w:rsid w:val="00D87414"/>
    <w:rsid w:val="00D923F9"/>
    <w:rsid w:val="00DA076D"/>
    <w:rsid w:val="00DB1F4A"/>
    <w:rsid w:val="00DC0D6D"/>
    <w:rsid w:val="00DD0FC9"/>
    <w:rsid w:val="00DD6A3D"/>
    <w:rsid w:val="00DE4E07"/>
    <w:rsid w:val="00DE6CF7"/>
    <w:rsid w:val="00E3099D"/>
    <w:rsid w:val="00E32669"/>
    <w:rsid w:val="00E53544"/>
    <w:rsid w:val="00E86C66"/>
    <w:rsid w:val="00E93320"/>
    <w:rsid w:val="00E96DC7"/>
    <w:rsid w:val="00EA0003"/>
    <w:rsid w:val="00EB01C4"/>
    <w:rsid w:val="00EB4596"/>
    <w:rsid w:val="00EB53FE"/>
    <w:rsid w:val="00EC0295"/>
    <w:rsid w:val="00ED2631"/>
    <w:rsid w:val="00ED58D7"/>
    <w:rsid w:val="00EE2ADA"/>
    <w:rsid w:val="00EE7DF4"/>
    <w:rsid w:val="00F01A50"/>
    <w:rsid w:val="00F0384E"/>
    <w:rsid w:val="00F10505"/>
    <w:rsid w:val="00F27C0B"/>
    <w:rsid w:val="00F403D6"/>
    <w:rsid w:val="00F65A55"/>
    <w:rsid w:val="00F740AA"/>
    <w:rsid w:val="00F76029"/>
    <w:rsid w:val="00F9356C"/>
    <w:rsid w:val="00FA49E2"/>
    <w:rsid w:val="00FB12FE"/>
    <w:rsid w:val="00FB2DD7"/>
    <w:rsid w:val="00FB3948"/>
    <w:rsid w:val="00FB40DA"/>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E29318BADBE4EA749DB441C1E2F32" ma:contentTypeVersion="13" ma:contentTypeDescription="Create a new document." ma:contentTypeScope="" ma:versionID="8acd095be6f513d15b160e993f8c817d">
  <xsd:schema xmlns:xsd="http://www.w3.org/2001/XMLSchema" xmlns:xs="http://www.w3.org/2001/XMLSchema" xmlns:p="http://schemas.microsoft.com/office/2006/metadata/properties" xmlns:ns3="3c9b7ca5-02b8-4450-8c2c-999ef9a04d1b" xmlns:ns4="a2c8572b-9795-4ed0-ac6f-01b4845f80d1" targetNamespace="http://schemas.microsoft.com/office/2006/metadata/properties" ma:root="true" ma:fieldsID="e667c6e170cd62b80b1d3332c4ae6d9c" ns3:_="" ns4:_="">
    <xsd:import namespace="3c9b7ca5-02b8-4450-8c2c-999ef9a04d1b"/>
    <xsd:import namespace="a2c8572b-9795-4ed0-ac6f-01b4845f80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7ca5-02b8-4450-8c2c-999ef9a04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8572b-9795-4ed0-ac6f-01b4845f80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2.xml><?xml version="1.0" encoding="utf-8"?>
<ds:datastoreItem xmlns:ds="http://schemas.openxmlformats.org/officeDocument/2006/customXml" ds:itemID="{F0246968-90BD-47D1-8AE3-F428B3B109B6}">
  <ds:schemaRefs>
    <ds:schemaRef ds:uri="3c9b7ca5-02b8-4450-8c2c-999ef9a04d1b"/>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a2c8572b-9795-4ed0-ac6f-01b4845f80d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38DE95-B939-4FF6-9967-0B11937E8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7ca5-02b8-4450-8c2c-999ef9a04d1b"/>
    <ds:schemaRef ds:uri="a2c8572b-9795-4ed0-ac6f-01b4845f8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CD335-DC2E-4540-B75F-44A2EAD7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Esayas Bocru</cp:lastModifiedBy>
  <cp:revision>2</cp:revision>
  <cp:lastPrinted>2021-06-16T13:47:00Z</cp:lastPrinted>
  <dcterms:created xsi:type="dcterms:W3CDTF">2022-09-19T10:56:00Z</dcterms:created>
  <dcterms:modified xsi:type="dcterms:W3CDTF">2022-09-19T10:56:00Z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0x010100380E29318BADBE4EA749DB441C1E2F32</vt:lpwstr>
  </property>
</Properties>
</file>