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F6BD" w14:textId="7C7D3A27" w:rsidR="00DF587A" w:rsidRDefault="00DF587A" w:rsidP="00A92D3E">
      <w:pPr>
        <w:pStyle w:val="NHGBODY"/>
        <w:rPr>
          <w:rFonts w:cs="Times New Roman"/>
          <w:bCs/>
          <w:spacing w:val="0"/>
          <w:sz w:val="48"/>
          <w:szCs w:val="48"/>
          <w:lang w:eastAsia="en-GB"/>
        </w:rPr>
      </w:pPr>
      <w:r w:rsidRPr="00DF587A">
        <w:rPr>
          <w:rFonts w:cs="Times New Roman"/>
          <w:bCs/>
          <w:spacing w:val="0"/>
          <w:sz w:val="48"/>
          <w:szCs w:val="48"/>
          <w:lang w:eastAsia="en-GB"/>
        </w:rPr>
        <w:t>Multi-</w:t>
      </w:r>
      <w:r w:rsidR="00287EAA">
        <w:rPr>
          <w:rFonts w:cs="Times New Roman"/>
          <w:bCs/>
          <w:spacing w:val="0"/>
          <w:sz w:val="48"/>
          <w:szCs w:val="48"/>
          <w:lang w:eastAsia="en-GB"/>
        </w:rPr>
        <w:t>S</w:t>
      </w:r>
      <w:r w:rsidRPr="00DF587A">
        <w:rPr>
          <w:rFonts w:cs="Times New Roman"/>
          <w:bCs/>
          <w:spacing w:val="0"/>
          <w:sz w:val="48"/>
          <w:szCs w:val="48"/>
          <w:lang w:eastAsia="en-GB"/>
        </w:rPr>
        <w:t>killed</w:t>
      </w:r>
      <w:r w:rsidR="00287EAA">
        <w:rPr>
          <w:rFonts w:cs="Times New Roman"/>
          <w:bCs/>
          <w:spacing w:val="0"/>
          <w:sz w:val="48"/>
          <w:szCs w:val="48"/>
          <w:lang w:eastAsia="en-GB"/>
        </w:rPr>
        <w:t xml:space="preserve"> Maintenance</w:t>
      </w:r>
      <w:r w:rsidR="004630F1">
        <w:rPr>
          <w:rFonts w:cs="Times New Roman"/>
          <w:bCs/>
          <w:spacing w:val="0"/>
          <w:sz w:val="48"/>
          <w:szCs w:val="48"/>
          <w:lang w:eastAsia="en-GB"/>
        </w:rPr>
        <w:t xml:space="preserve"> </w:t>
      </w:r>
      <w:r w:rsidR="00681E46" w:rsidRPr="00681E46">
        <w:rPr>
          <w:rFonts w:cs="Times New Roman"/>
          <w:bCs/>
          <w:spacing w:val="0"/>
          <w:sz w:val="48"/>
          <w:szCs w:val="48"/>
          <w:lang w:eastAsia="en-GB"/>
        </w:rPr>
        <w:t>Operative</w:t>
      </w:r>
    </w:p>
    <w:p w14:paraId="3FEF1FE8" w14:textId="5993AD9E" w:rsidR="005546F2" w:rsidRPr="00F75F07" w:rsidRDefault="00F75F07" w:rsidP="00A92D3E">
      <w:pPr>
        <w:pStyle w:val="NHGBODY"/>
        <w:rPr>
          <w:rFonts w:eastAsia="MS Mincho" w:cs="Times New Roman"/>
          <w:spacing w:val="0"/>
          <w:sz w:val="36"/>
          <w:szCs w:val="36"/>
        </w:rPr>
      </w:pPr>
      <w:r w:rsidRPr="00F75F07">
        <w:rPr>
          <w:rFonts w:eastAsia="MS Mincho" w:cs="Times New Roman"/>
          <w:spacing w:val="0"/>
          <w:sz w:val="36"/>
          <w:szCs w:val="36"/>
        </w:rPr>
        <w:t>Commercial Services – Key Worker and Student Lets (KW&amp;SL)</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86"/>
        <w:gridCol w:w="795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A72510">
        <w:trPr>
          <w:tblCellSpacing w:w="20" w:type="dxa"/>
        </w:trPr>
        <w:tc>
          <w:tcPr>
            <w:tcW w:w="1166"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6" w:type="pct"/>
            <w:shd w:val="clear" w:color="auto" w:fill="auto"/>
          </w:tcPr>
          <w:p w14:paraId="681D1C41" w14:textId="21A77763" w:rsidR="003C6B88" w:rsidRPr="008C6DEC" w:rsidRDefault="00C97A6B" w:rsidP="003F5381">
            <w:pPr>
              <w:spacing w:before="100" w:beforeAutospacing="1" w:after="100" w:afterAutospacing="1"/>
              <w:rPr>
                <w:rFonts w:cs="Arial"/>
                <w:sz w:val="22"/>
                <w:szCs w:val="22"/>
              </w:rPr>
            </w:pPr>
            <w:r w:rsidRPr="00C97A6B">
              <w:rPr>
                <w:rFonts w:cs="Arial"/>
                <w:sz w:val="22"/>
                <w:szCs w:val="22"/>
              </w:rPr>
              <w:t>To be responsible for completing a range of repairs &amp; maintenance tasks to deliver a comprehensive and technical repairs and maintenance service for Key Workers and Student Lets (KW&amp;SL), ensuring our assets are well maintained in line with applicable standards and legislation and providing high standards of quality service and customer satisfaction. To undertake the facilitation of planned and responsive repairs for tenants, staff, void properties, and communal areas (internal and external) in accordance with current, stringent health and safety legislation and practice.</w:t>
            </w:r>
          </w:p>
        </w:tc>
      </w:tr>
      <w:tr w:rsidR="00AB4FF3" w:rsidRPr="00383310" w14:paraId="23C61DBD" w14:textId="77777777" w:rsidTr="00A72510">
        <w:trPr>
          <w:tblCellSpacing w:w="20" w:type="dxa"/>
        </w:trPr>
        <w:tc>
          <w:tcPr>
            <w:tcW w:w="1166"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6" w:type="pct"/>
            <w:shd w:val="clear" w:color="auto" w:fill="auto"/>
          </w:tcPr>
          <w:p w14:paraId="17E2FC0B" w14:textId="77777777" w:rsidR="003D73ED"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Diagnosing and completing a range of repairs to a high standard.</w:t>
            </w:r>
          </w:p>
          <w:p w14:paraId="579A606A" w14:textId="1CF5F447"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 xml:space="preserve">Managing relationships with suppliers and sub-contractors to ensure </w:t>
            </w:r>
            <w:r w:rsidR="00933F6F">
              <w:rPr>
                <w:rFonts w:cstheme="minorHAnsi"/>
                <w:sz w:val="22"/>
                <w:szCs w:val="22"/>
              </w:rPr>
              <w:t>value fo</w:t>
            </w:r>
            <w:r w:rsidR="007049DD">
              <w:rPr>
                <w:rFonts w:cstheme="minorHAnsi"/>
                <w:sz w:val="22"/>
                <w:szCs w:val="22"/>
              </w:rPr>
              <w:t>r</w:t>
            </w:r>
            <w:r w:rsidR="00933F6F">
              <w:rPr>
                <w:rFonts w:cstheme="minorHAnsi"/>
                <w:sz w:val="22"/>
                <w:szCs w:val="22"/>
              </w:rPr>
              <w:t xml:space="preserve"> money (</w:t>
            </w:r>
            <w:r w:rsidRPr="003D73ED">
              <w:rPr>
                <w:rFonts w:cstheme="minorHAnsi"/>
                <w:sz w:val="22"/>
                <w:szCs w:val="22"/>
              </w:rPr>
              <w:t>VFM</w:t>
            </w:r>
            <w:r w:rsidR="00933F6F">
              <w:rPr>
                <w:rFonts w:cstheme="minorHAnsi"/>
                <w:sz w:val="22"/>
                <w:szCs w:val="22"/>
              </w:rPr>
              <w:t>)</w:t>
            </w:r>
            <w:r w:rsidRPr="003D73ED">
              <w:rPr>
                <w:rFonts w:cstheme="minorHAnsi"/>
                <w:sz w:val="22"/>
                <w:szCs w:val="22"/>
              </w:rPr>
              <w:t>.</w:t>
            </w:r>
          </w:p>
          <w:p w14:paraId="58719501" w14:textId="11C43AE8"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 xml:space="preserve">Ensuring compliance is in line with appropriate legislation, constitution, financial </w:t>
            </w:r>
            <w:r w:rsidR="007049DD" w:rsidRPr="003D73ED">
              <w:rPr>
                <w:rFonts w:cstheme="minorHAnsi"/>
                <w:sz w:val="22"/>
                <w:szCs w:val="22"/>
              </w:rPr>
              <w:t>regulations,</w:t>
            </w:r>
            <w:r w:rsidRPr="003D73ED">
              <w:rPr>
                <w:rFonts w:cstheme="minorHAnsi"/>
                <w:sz w:val="22"/>
                <w:szCs w:val="22"/>
              </w:rPr>
              <w:t xml:space="preserve"> and other requirements of the organisation.</w:t>
            </w:r>
          </w:p>
          <w:p w14:paraId="186E20AE" w14:textId="2169A306"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Working within agreed Service Level Agreements including day to day maintenance and void works.</w:t>
            </w:r>
          </w:p>
          <w:p w14:paraId="53E87A78" w14:textId="4AC106F1"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Managing the performance of other trades persons, sub-contractors, or direct report(s) whilst on site.</w:t>
            </w:r>
          </w:p>
          <w:p w14:paraId="18AF1D78" w14:textId="60ACFC93"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 xml:space="preserve">Compliance – legislative, industry and </w:t>
            </w:r>
            <w:r w:rsidR="00D04151">
              <w:rPr>
                <w:rFonts w:cstheme="minorHAnsi"/>
                <w:sz w:val="22"/>
                <w:szCs w:val="22"/>
              </w:rPr>
              <w:t>Health and Safety (</w:t>
            </w:r>
            <w:r w:rsidRPr="003D73ED">
              <w:rPr>
                <w:rFonts w:cstheme="minorHAnsi"/>
                <w:sz w:val="22"/>
                <w:szCs w:val="22"/>
              </w:rPr>
              <w:t>H&amp;S</w:t>
            </w:r>
            <w:r w:rsidR="00D04151">
              <w:rPr>
                <w:rFonts w:cstheme="minorHAnsi"/>
                <w:sz w:val="22"/>
                <w:szCs w:val="22"/>
              </w:rPr>
              <w:t>)</w:t>
            </w:r>
            <w:r w:rsidRPr="003D73ED">
              <w:rPr>
                <w:rFonts w:cstheme="minorHAnsi"/>
                <w:sz w:val="22"/>
                <w:szCs w:val="22"/>
              </w:rPr>
              <w:t>.</w:t>
            </w:r>
          </w:p>
          <w:p w14:paraId="110A5033" w14:textId="434BCF67" w:rsidR="00AE61C0"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 xml:space="preserve">To influence, prioritise and negotiate with internal and external customers to find the most economically advantageous solutions for KW&amp;SL. </w:t>
            </w:r>
          </w:p>
          <w:p w14:paraId="5F92F4CC" w14:textId="672F9A46" w:rsidR="00AB4FF3" w:rsidRPr="003D73ED" w:rsidRDefault="00AE61C0" w:rsidP="003D73ED">
            <w:pPr>
              <w:pStyle w:val="ListParagraph"/>
              <w:numPr>
                <w:ilvl w:val="0"/>
                <w:numId w:val="36"/>
              </w:numPr>
              <w:spacing w:before="100" w:beforeAutospacing="1" w:after="100" w:afterAutospacing="1"/>
              <w:rPr>
                <w:rFonts w:cstheme="minorHAnsi"/>
                <w:sz w:val="22"/>
                <w:szCs w:val="22"/>
              </w:rPr>
            </w:pPr>
            <w:r w:rsidRPr="003D73ED">
              <w:rPr>
                <w:rFonts w:cstheme="minorHAnsi"/>
                <w:sz w:val="22"/>
                <w:szCs w:val="22"/>
              </w:rPr>
              <w:t>Ensuring that we are working within the agreed service level agreements including day to day maintenance and void works.</w:t>
            </w:r>
          </w:p>
        </w:tc>
      </w:tr>
      <w:tr w:rsidR="00AB4FF3" w:rsidRPr="00383310" w14:paraId="2DA408A9" w14:textId="77777777" w:rsidTr="00A72510">
        <w:trPr>
          <w:tblCellSpacing w:w="20" w:type="dxa"/>
        </w:trPr>
        <w:tc>
          <w:tcPr>
            <w:tcW w:w="1166"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6" w:type="pct"/>
            <w:shd w:val="clear" w:color="auto" w:fill="auto"/>
          </w:tcPr>
          <w:p w14:paraId="0E06958D" w14:textId="76517788" w:rsidR="00AB4FF3" w:rsidRPr="008C6DEC" w:rsidRDefault="0000347E" w:rsidP="002871E4">
            <w:pPr>
              <w:spacing w:before="100" w:beforeAutospacing="1" w:after="100" w:afterAutospacing="1"/>
              <w:rPr>
                <w:rFonts w:cstheme="minorHAnsi"/>
                <w:color w:val="808080" w:themeColor="background1" w:themeShade="80"/>
                <w:sz w:val="22"/>
                <w:szCs w:val="22"/>
              </w:rPr>
            </w:pPr>
            <w:r w:rsidRPr="00A07F71">
              <w:rPr>
                <w:rFonts w:cstheme="minorHAnsi"/>
                <w:sz w:val="22"/>
                <w:szCs w:val="22"/>
              </w:rPr>
              <w:t>Multi-Skilled Maintenance Supervisor</w:t>
            </w:r>
          </w:p>
        </w:tc>
      </w:tr>
      <w:tr w:rsidR="00AB4FF3" w:rsidRPr="00383310" w14:paraId="189A9A15" w14:textId="77777777" w:rsidTr="00A72510">
        <w:trPr>
          <w:tblCellSpacing w:w="20" w:type="dxa"/>
        </w:trPr>
        <w:tc>
          <w:tcPr>
            <w:tcW w:w="1166"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6" w:type="pct"/>
            <w:shd w:val="clear" w:color="auto" w:fill="auto"/>
          </w:tcPr>
          <w:p w14:paraId="79324554" w14:textId="36027C46" w:rsidR="00AB4FF3" w:rsidRPr="00A07F71" w:rsidRDefault="00A72510" w:rsidP="002871E4">
            <w:pPr>
              <w:spacing w:before="100" w:beforeAutospacing="1" w:after="100" w:afterAutospacing="1"/>
              <w:rPr>
                <w:rFonts w:cstheme="minorHAnsi"/>
                <w:color w:val="808080" w:themeColor="background1" w:themeShade="80"/>
                <w:sz w:val="22"/>
                <w:szCs w:val="22"/>
              </w:rPr>
            </w:pPr>
            <w:r w:rsidRPr="00A07F71">
              <w:rPr>
                <w:rFonts w:cstheme="minorHAnsi"/>
                <w:sz w:val="22"/>
                <w:szCs w:val="22"/>
              </w:rPr>
              <w:t xml:space="preserve">None </w:t>
            </w:r>
          </w:p>
        </w:tc>
      </w:tr>
      <w:tr w:rsidR="0090526B" w:rsidRPr="00383310" w14:paraId="1EC6D99B" w14:textId="77777777" w:rsidTr="00A72510">
        <w:trPr>
          <w:tblCellSpacing w:w="20" w:type="dxa"/>
        </w:trPr>
        <w:tc>
          <w:tcPr>
            <w:tcW w:w="1166"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6" w:type="pct"/>
            <w:shd w:val="clear" w:color="auto" w:fill="auto"/>
          </w:tcPr>
          <w:p w14:paraId="2618C193" w14:textId="44B58443" w:rsidR="0090526B" w:rsidRPr="002F40E8" w:rsidRDefault="002F40E8" w:rsidP="002871E4">
            <w:pPr>
              <w:spacing w:before="100" w:beforeAutospacing="1" w:after="100" w:afterAutospacing="1"/>
              <w:rPr>
                <w:rFonts w:cstheme="minorHAnsi"/>
                <w:sz w:val="22"/>
                <w:szCs w:val="22"/>
              </w:rPr>
            </w:pPr>
            <w:r w:rsidRPr="002F40E8">
              <w:rPr>
                <w:rFonts w:cstheme="minorHAnsi"/>
                <w:sz w:val="22"/>
                <w:szCs w:val="22"/>
              </w:rPr>
              <w:t>9</w:t>
            </w:r>
          </w:p>
        </w:tc>
      </w:tr>
      <w:tr w:rsidR="000C0615" w:rsidRPr="00383310" w14:paraId="3D647FA1" w14:textId="77777777" w:rsidTr="00A72510">
        <w:trPr>
          <w:trHeight w:val="70"/>
          <w:tblCellSpacing w:w="20" w:type="dxa"/>
        </w:trPr>
        <w:tc>
          <w:tcPr>
            <w:tcW w:w="1166"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6" w:type="pct"/>
            <w:shd w:val="clear" w:color="auto" w:fill="auto"/>
          </w:tcPr>
          <w:p w14:paraId="7FE2DDD0" w14:textId="6152326D" w:rsidR="000C0615" w:rsidRPr="008C6DEC" w:rsidRDefault="00A72510" w:rsidP="002871E4">
            <w:pPr>
              <w:spacing w:before="100" w:beforeAutospacing="1" w:after="100" w:afterAutospacing="1"/>
              <w:rPr>
                <w:rFonts w:cstheme="minorHAnsi"/>
                <w:color w:val="808080" w:themeColor="background1" w:themeShade="80"/>
                <w:sz w:val="22"/>
                <w:szCs w:val="22"/>
              </w:rPr>
            </w:pPr>
            <w:r w:rsidRPr="00A07F71">
              <w:rPr>
                <w:rFonts w:cstheme="minorHAnsi"/>
                <w:sz w:val="22"/>
                <w:szCs w:val="22"/>
              </w:rPr>
              <w:t xml:space="preserve">Colleague </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72510" w:rsidRPr="00383310" w14:paraId="163900CC" w14:textId="77777777" w:rsidTr="00A72510">
        <w:trPr>
          <w:trHeight w:val="45"/>
          <w:tblCellSpacing w:w="20" w:type="dxa"/>
        </w:trPr>
        <w:tc>
          <w:tcPr>
            <w:tcW w:w="1166" w:type="pct"/>
            <w:shd w:val="clear" w:color="auto" w:fill="auto"/>
          </w:tcPr>
          <w:p w14:paraId="0A5187A7" w14:textId="77777777" w:rsidR="00A72510" w:rsidRPr="00297B5C" w:rsidRDefault="00A72510" w:rsidP="00A72510">
            <w:pPr>
              <w:pStyle w:val="NoSpacing"/>
              <w:spacing w:after="60"/>
              <w:rPr>
                <w:rFonts w:ascii="Arial" w:hAnsi="Arial" w:cs="Arial"/>
                <w:b/>
                <w:bCs/>
              </w:rPr>
            </w:pPr>
            <w:r w:rsidRPr="00297B5C">
              <w:rPr>
                <w:rFonts w:ascii="Arial" w:hAnsi="Arial" w:cs="Arial"/>
                <w:b/>
                <w:bCs/>
              </w:rPr>
              <w:t>Internal</w:t>
            </w:r>
          </w:p>
        </w:tc>
        <w:tc>
          <w:tcPr>
            <w:tcW w:w="3776" w:type="pct"/>
            <w:shd w:val="clear" w:color="auto" w:fill="auto"/>
          </w:tcPr>
          <w:p w14:paraId="74CDCCDC" w14:textId="6F11C857" w:rsidR="00A72510" w:rsidRPr="008C6DEC" w:rsidRDefault="00A72510" w:rsidP="00A72510">
            <w:pPr>
              <w:spacing w:before="100" w:beforeAutospacing="1" w:after="100" w:afterAutospacing="1"/>
              <w:rPr>
                <w:rFonts w:cstheme="minorHAnsi"/>
                <w:color w:val="808080" w:themeColor="background1" w:themeShade="80"/>
                <w:sz w:val="22"/>
                <w:szCs w:val="22"/>
              </w:rPr>
            </w:pPr>
            <w:r w:rsidRPr="00D5606A">
              <w:rPr>
                <w:rFonts w:cstheme="minorHAnsi"/>
                <w:sz w:val="22"/>
                <w:szCs w:val="22"/>
              </w:rPr>
              <w:t>Executive Board, Development &amp; New Business, Folio London, Finance, Office Services, Regeneration &amp; Assets, ICT, HR, BID, Communications</w:t>
            </w:r>
          </w:p>
        </w:tc>
      </w:tr>
      <w:tr w:rsidR="00A72510" w:rsidRPr="00383310" w14:paraId="0EC135CE" w14:textId="77777777" w:rsidTr="00A72510">
        <w:trPr>
          <w:trHeight w:val="45"/>
          <w:tblCellSpacing w:w="20" w:type="dxa"/>
        </w:trPr>
        <w:tc>
          <w:tcPr>
            <w:tcW w:w="1166" w:type="pct"/>
            <w:shd w:val="clear" w:color="auto" w:fill="auto"/>
          </w:tcPr>
          <w:p w14:paraId="23E042BD" w14:textId="77777777" w:rsidR="00A72510" w:rsidRPr="00297B5C" w:rsidRDefault="00A72510" w:rsidP="00A72510">
            <w:pPr>
              <w:pStyle w:val="NoSpacing"/>
              <w:spacing w:after="60"/>
              <w:rPr>
                <w:rFonts w:ascii="Arial" w:hAnsi="Arial" w:cs="Arial"/>
                <w:b/>
                <w:bCs/>
              </w:rPr>
            </w:pPr>
            <w:r w:rsidRPr="00297B5C">
              <w:rPr>
                <w:rFonts w:ascii="Arial" w:hAnsi="Arial" w:cs="Arial"/>
                <w:b/>
                <w:bCs/>
              </w:rPr>
              <w:t>External</w:t>
            </w:r>
          </w:p>
        </w:tc>
        <w:tc>
          <w:tcPr>
            <w:tcW w:w="3776" w:type="pct"/>
            <w:shd w:val="clear" w:color="auto" w:fill="auto"/>
          </w:tcPr>
          <w:p w14:paraId="6D6D2213" w14:textId="60454AF2" w:rsidR="008752CF" w:rsidRPr="008752CF" w:rsidRDefault="00A72510" w:rsidP="00A72510">
            <w:pPr>
              <w:spacing w:before="100" w:beforeAutospacing="1" w:after="100" w:afterAutospacing="1"/>
              <w:rPr>
                <w:rFonts w:cstheme="minorHAnsi"/>
                <w:sz w:val="22"/>
                <w:szCs w:val="22"/>
              </w:rPr>
            </w:pPr>
            <w:r w:rsidRPr="00D5606A">
              <w:rPr>
                <w:rFonts w:cstheme="minorHAnsi"/>
                <w:sz w:val="22"/>
                <w:szCs w:val="22"/>
              </w:rPr>
              <w:t>Stakeholders (Landlord’s &amp; Tenants), surveyors, suppliers/contractors</w:t>
            </w:r>
            <w:r w:rsidR="008752CF">
              <w:rPr>
                <w:rFonts w:cstheme="minorHAnsi"/>
                <w:sz w:val="22"/>
                <w:szCs w:val="22"/>
              </w:rPr>
              <w:t>.</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lastRenderedPageBreak/>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05CD50E2" w14:textId="246C1345"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Carry out a range of specified works (standard to complex) both as an individual craft professional and as a member of a multi-skilled team.</w:t>
            </w:r>
          </w:p>
          <w:p w14:paraId="30A4A6C0" w14:textId="6FA69A10"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 xml:space="preserve">Work in a range of </w:t>
            </w:r>
            <w:r w:rsidR="00D04151">
              <w:rPr>
                <w:rFonts w:cs="Arial"/>
                <w:sz w:val="22"/>
                <w:szCs w:val="22"/>
              </w:rPr>
              <w:t>No</w:t>
            </w:r>
            <w:r w:rsidR="00320E96">
              <w:rPr>
                <w:rFonts w:cs="Arial"/>
                <w:sz w:val="22"/>
                <w:szCs w:val="22"/>
              </w:rPr>
              <w:t>t</w:t>
            </w:r>
            <w:r w:rsidR="00D04151">
              <w:rPr>
                <w:rFonts w:cs="Arial"/>
                <w:sz w:val="22"/>
                <w:szCs w:val="22"/>
              </w:rPr>
              <w:t xml:space="preserve">ting Hill </w:t>
            </w:r>
            <w:r w:rsidR="00320E96">
              <w:rPr>
                <w:rFonts w:cs="Arial"/>
                <w:sz w:val="22"/>
                <w:szCs w:val="22"/>
              </w:rPr>
              <w:t>G</w:t>
            </w:r>
            <w:r w:rsidR="00D04151">
              <w:rPr>
                <w:rFonts w:cs="Arial"/>
                <w:sz w:val="22"/>
                <w:szCs w:val="22"/>
              </w:rPr>
              <w:t>enesis (</w:t>
            </w:r>
            <w:r w:rsidRPr="00783F16">
              <w:rPr>
                <w:rFonts w:cs="Arial"/>
                <w:sz w:val="22"/>
                <w:szCs w:val="22"/>
              </w:rPr>
              <w:t>NHG</w:t>
            </w:r>
            <w:r w:rsidR="00D04151">
              <w:rPr>
                <w:rFonts w:cs="Arial"/>
                <w:sz w:val="22"/>
                <w:szCs w:val="22"/>
              </w:rPr>
              <w:t>)</w:t>
            </w:r>
            <w:r w:rsidRPr="00783F16">
              <w:rPr>
                <w:rFonts w:cs="Arial"/>
                <w:sz w:val="22"/>
                <w:szCs w:val="22"/>
              </w:rPr>
              <w:t xml:space="preserve"> properties as well as communal areas and the wider estate including tenanted properties, owner occupied properties and offices.</w:t>
            </w:r>
          </w:p>
          <w:p w14:paraId="379DD384" w14:textId="493DCCF5"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 xml:space="preserve">Monitoring budgets spend for repairs, </w:t>
            </w:r>
            <w:proofErr w:type="gramStart"/>
            <w:r w:rsidRPr="00783F16">
              <w:rPr>
                <w:rFonts w:cs="Arial"/>
                <w:sz w:val="22"/>
                <w:szCs w:val="22"/>
              </w:rPr>
              <w:t>stock</w:t>
            </w:r>
            <w:proofErr w:type="gramEnd"/>
            <w:r w:rsidRPr="00783F16">
              <w:rPr>
                <w:rFonts w:cs="Arial"/>
                <w:sz w:val="22"/>
                <w:szCs w:val="22"/>
              </w:rPr>
              <w:t xml:space="preserve"> and parts against monthly forecast.</w:t>
            </w:r>
          </w:p>
          <w:p w14:paraId="3CC83889" w14:textId="2AAA436C"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 xml:space="preserve">Working to an on-call rota (including out of normal working hours) to provide support for out of hour emergency callouts where necessary, this may include bank holidays, </w:t>
            </w:r>
            <w:proofErr w:type="gramStart"/>
            <w:r w:rsidRPr="00783F16">
              <w:rPr>
                <w:rFonts w:cs="Arial"/>
                <w:sz w:val="22"/>
                <w:szCs w:val="22"/>
              </w:rPr>
              <w:t>weekend</w:t>
            </w:r>
            <w:proofErr w:type="gramEnd"/>
            <w:r w:rsidRPr="00783F16">
              <w:rPr>
                <w:rFonts w:cs="Arial"/>
                <w:sz w:val="22"/>
                <w:szCs w:val="22"/>
              </w:rPr>
              <w:t xml:space="preserve"> and evenings. </w:t>
            </w:r>
          </w:p>
          <w:p w14:paraId="682DA17B" w14:textId="7034F751"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Provide excellent customer service to a diverse range of customers and clients in accordance with NHG repair, customer service and equal opportunities policies.</w:t>
            </w:r>
          </w:p>
          <w:p w14:paraId="36964391" w14:textId="47FB94E5" w:rsidR="002511B7" w:rsidRPr="006D73B1" w:rsidRDefault="002511B7" w:rsidP="006D73B1">
            <w:pPr>
              <w:pStyle w:val="ListParagraph"/>
              <w:numPr>
                <w:ilvl w:val="0"/>
                <w:numId w:val="37"/>
              </w:numPr>
              <w:spacing w:before="100" w:beforeAutospacing="1" w:after="100" w:afterAutospacing="1"/>
              <w:rPr>
                <w:rFonts w:cs="Arial"/>
                <w:sz w:val="22"/>
                <w:szCs w:val="22"/>
              </w:rPr>
            </w:pPr>
            <w:r w:rsidRPr="00783F16">
              <w:rPr>
                <w:rFonts w:cs="Arial"/>
                <w:sz w:val="22"/>
                <w:szCs w:val="22"/>
              </w:rPr>
              <w:t xml:space="preserve">To carry out regular inspections of the </w:t>
            </w:r>
            <w:r w:rsidR="003626C8">
              <w:rPr>
                <w:rFonts w:cs="Arial"/>
                <w:sz w:val="22"/>
                <w:szCs w:val="22"/>
              </w:rPr>
              <w:t>sites</w:t>
            </w:r>
            <w:r w:rsidRPr="00783F16">
              <w:rPr>
                <w:rFonts w:cs="Arial"/>
                <w:sz w:val="22"/>
                <w:szCs w:val="22"/>
              </w:rPr>
              <w:t>, working with customers and colleagues to implement service improvement strategies based on customer feedback.</w:t>
            </w:r>
          </w:p>
          <w:p w14:paraId="3DAADA5B" w14:textId="2635F069"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Assist in resolving complaints.</w:t>
            </w:r>
          </w:p>
          <w:p w14:paraId="5E87B63D" w14:textId="509A085A" w:rsidR="002511B7" w:rsidRPr="00783F16" w:rsidRDefault="008E6394"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P</w:t>
            </w:r>
            <w:r w:rsidR="002511B7" w:rsidRPr="00783F16">
              <w:rPr>
                <w:rFonts w:cs="Arial"/>
                <w:sz w:val="22"/>
                <w:szCs w:val="22"/>
              </w:rPr>
              <w:t>rovide detailed reports and keep full audit trails of any work carried out.</w:t>
            </w:r>
          </w:p>
          <w:p w14:paraId="6D0B36BE" w14:textId="47E46713" w:rsidR="002511B7" w:rsidRPr="006D73B1" w:rsidRDefault="002511B7" w:rsidP="006D73B1">
            <w:pPr>
              <w:pStyle w:val="ListParagraph"/>
              <w:numPr>
                <w:ilvl w:val="0"/>
                <w:numId w:val="37"/>
              </w:numPr>
              <w:spacing w:before="100" w:beforeAutospacing="1" w:after="100" w:afterAutospacing="1"/>
              <w:rPr>
                <w:rFonts w:cs="Arial"/>
                <w:sz w:val="22"/>
                <w:szCs w:val="22"/>
              </w:rPr>
            </w:pPr>
            <w:r w:rsidRPr="00783F16">
              <w:rPr>
                <w:rFonts w:cs="Arial"/>
                <w:sz w:val="22"/>
                <w:szCs w:val="22"/>
              </w:rPr>
              <w:t>Complete specified works to a high standard always ensuring excellent quality</w:t>
            </w:r>
          </w:p>
          <w:p w14:paraId="624009F6" w14:textId="7AAD5E17"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Ensure that all tools (both handheld and powered) provided by NHG are properly and appropriately operated, cleaned regularly and stored in an appropriate manner and in line with manufacturers recommendations.</w:t>
            </w:r>
          </w:p>
          <w:p w14:paraId="4DCB14C8" w14:textId="531C5CAA"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Ability to estimate requirements of time and materials for budgeting purposes.</w:t>
            </w:r>
          </w:p>
          <w:p w14:paraId="02E92483" w14:textId="7E97B67B"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Ensure compliance with all health and safety rules and regulations and ensure that protective clothing and equipment (PPE) are appropriately and properly used.</w:t>
            </w:r>
          </w:p>
          <w:p w14:paraId="452A5FA0" w14:textId="51A31B1E"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Communicate with a high degree of accuracy (both written and verbally) to management teams and other colleagues.</w:t>
            </w:r>
          </w:p>
          <w:p w14:paraId="05A35326" w14:textId="2DCFE076"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Report all breakages, breakdowns, accidents, and other issues promptly and effectively</w:t>
            </w:r>
          </w:p>
          <w:p w14:paraId="65B99100" w14:textId="0BEF917C" w:rsidR="002511B7" w:rsidRPr="00783F16" w:rsidRDefault="002511B7" w:rsidP="00783F16">
            <w:pPr>
              <w:pStyle w:val="ListParagraph"/>
              <w:numPr>
                <w:ilvl w:val="0"/>
                <w:numId w:val="37"/>
              </w:numPr>
              <w:spacing w:before="100" w:beforeAutospacing="1" w:after="100" w:afterAutospacing="1"/>
              <w:rPr>
                <w:rFonts w:cs="Arial"/>
                <w:sz w:val="22"/>
                <w:szCs w:val="22"/>
              </w:rPr>
            </w:pPr>
            <w:r w:rsidRPr="00783F16">
              <w:rPr>
                <w:rFonts w:cs="Arial"/>
                <w:sz w:val="22"/>
                <w:szCs w:val="22"/>
              </w:rPr>
              <w:t>Take responsibility for continuing self-development and participate in training and development activities as and when directed by management, and as required</w:t>
            </w:r>
          </w:p>
          <w:p w14:paraId="1AFC8FAF" w14:textId="77777777" w:rsidR="002511B7" w:rsidRPr="00783F16" w:rsidRDefault="002511B7" w:rsidP="002511B7">
            <w:pPr>
              <w:spacing w:before="100" w:beforeAutospacing="1" w:after="100" w:afterAutospacing="1"/>
              <w:rPr>
                <w:rFonts w:cs="Arial"/>
                <w:b/>
                <w:bCs/>
                <w:sz w:val="22"/>
                <w:szCs w:val="22"/>
              </w:rPr>
            </w:pPr>
            <w:r w:rsidRPr="00783F16">
              <w:rPr>
                <w:rFonts w:cs="Arial"/>
                <w:b/>
                <w:bCs/>
                <w:sz w:val="22"/>
                <w:szCs w:val="22"/>
              </w:rPr>
              <w:t>General</w:t>
            </w:r>
          </w:p>
          <w:p w14:paraId="6620E884" w14:textId="2D833B0D" w:rsidR="002511B7" w:rsidRPr="00783F16" w:rsidRDefault="002511B7" w:rsidP="00783F16">
            <w:pPr>
              <w:pStyle w:val="ListParagraph"/>
              <w:numPr>
                <w:ilvl w:val="0"/>
                <w:numId w:val="38"/>
              </w:numPr>
              <w:spacing w:before="100" w:beforeAutospacing="1" w:after="100" w:afterAutospacing="1"/>
              <w:rPr>
                <w:rFonts w:cs="Arial"/>
                <w:sz w:val="22"/>
                <w:szCs w:val="22"/>
              </w:rPr>
            </w:pPr>
            <w:r w:rsidRPr="00783F16">
              <w:rPr>
                <w:rFonts w:cs="Arial"/>
                <w:sz w:val="22"/>
                <w:szCs w:val="22"/>
              </w:rPr>
              <w:t xml:space="preserve">Ensure you follow the financial regulations, </w:t>
            </w:r>
            <w:proofErr w:type="gramStart"/>
            <w:r w:rsidRPr="00783F16">
              <w:rPr>
                <w:rFonts w:cs="Arial"/>
                <w:sz w:val="22"/>
                <w:szCs w:val="22"/>
              </w:rPr>
              <w:t>policies</w:t>
            </w:r>
            <w:proofErr w:type="gramEnd"/>
            <w:r w:rsidRPr="00783F16">
              <w:rPr>
                <w:rFonts w:cs="Arial"/>
                <w:sz w:val="22"/>
                <w:szCs w:val="22"/>
              </w:rPr>
              <w:t xml:space="preserve"> and procedures at NHG.</w:t>
            </w:r>
          </w:p>
          <w:p w14:paraId="5B431A8F" w14:textId="4512589B" w:rsidR="00122BDD" w:rsidRPr="00783F16" w:rsidRDefault="002511B7" w:rsidP="00783F16">
            <w:pPr>
              <w:pStyle w:val="ListParagraph"/>
              <w:numPr>
                <w:ilvl w:val="0"/>
                <w:numId w:val="38"/>
              </w:numPr>
              <w:spacing w:before="100" w:beforeAutospacing="1" w:after="100" w:afterAutospacing="1"/>
              <w:rPr>
                <w:rFonts w:cs="Arial"/>
                <w:sz w:val="22"/>
                <w:szCs w:val="22"/>
              </w:rPr>
            </w:pPr>
            <w:r w:rsidRPr="00783F16">
              <w:rPr>
                <w:rFonts w:cs="Arial"/>
                <w:sz w:val="22"/>
                <w:szCs w:val="22"/>
              </w:rPr>
              <w:t>Ensure that you follow relevant Health and Safety policies and related procedures, keeping up to date with changes and taking action to maintain personal health and safety and that of others</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5BEFC446"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3C265677" w:rsidR="000E6C81" w:rsidRPr="00C452CD" w:rsidRDefault="000E6C81" w:rsidP="00017A81">
            <w:pPr>
              <w:tabs>
                <w:tab w:val="left" w:pos="3060"/>
              </w:tabs>
              <w:rPr>
                <w:rFonts w:cs="Arial"/>
                <w:sz w:val="22"/>
                <w:szCs w:val="22"/>
                <w:lang w:eastAsia="en-GB"/>
              </w:rPr>
            </w:pPr>
            <w:r w:rsidRPr="00A94BE0">
              <w:rPr>
                <w:b/>
                <w:bCs/>
                <w:sz w:val="22"/>
                <w:szCs w:val="22"/>
              </w:rPr>
              <w:t>Experience (executive)</w:t>
            </w:r>
            <w:r>
              <w:rPr>
                <w:b/>
                <w:bCs/>
                <w:sz w:val="22"/>
                <w:szCs w:val="22"/>
              </w:rPr>
              <w:t xml:space="preserve"> </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29D6769C" w14:textId="249873C4" w:rsidR="007D22D8" w:rsidRDefault="007D22D8" w:rsidP="004A08EC">
            <w:pPr>
              <w:pStyle w:val="ListParagraph"/>
              <w:numPr>
                <w:ilvl w:val="0"/>
                <w:numId w:val="42"/>
              </w:numPr>
              <w:rPr>
                <w:rFonts w:cs="Arial"/>
                <w:sz w:val="22"/>
                <w:szCs w:val="22"/>
              </w:rPr>
            </w:pPr>
            <w:r w:rsidRPr="004A08EC">
              <w:rPr>
                <w:rFonts w:cs="Arial"/>
                <w:sz w:val="22"/>
                <w:szCs w:val="22"/>
              </w:rPr>
              <w:t>Experience of working on a large residential site</w:t>
            </w:r>
          </w:p>
          <w:p w14:paraId="079DF542" w14:textId="2D03D075" w:rsidR="007049DD" w:rsidRPr="004A08EC" w:rsidRDefault="007049DD" w:rsidP="004A08EC">
            <w:pPr>
              <w:pStyle w:val="ListParagraph"/>
              <w:numPr>
                <w:ilvl w:val="0"/>
                <w:numId w:val="42"/>
              </w:numPr>
              <w:rPr>
                <w:rFonts w:cs="Arial"/>
                <w:sz w:val="22"/>
                <w:szCs w:val="22"/>
              </w:rPr>
            </w:pPr>
            <w:r w:rsidRPr="007049DD">
              <w:rPr>
                <w:rFonts w:cs="Arial"/>
                <w:sz w:val="22"/>
                <w:szCs w:val="22"/>
              </w:rPr>
              <w:t>A full UK driving license</w:t>
            </w:r>
          </w:p>
          <w:p w14:paraId="2CB1F86C" w14:textId="77777777" w:rsidR="004A08EC" w:rsidRDefault="007D22D8" w:rsidP="007D22D8">
            <w:pPr>
              <w:pStyle w:val="ListParagraph"/>
              <w:numPr>
                <w:ilvl w:val="0"/>
                <w:numId w:val="42"/>
              </w:numPr>
              <w:rPr>
                <w:rFonts w:cs="Arial"/>
                <w:sz w:val="22"/>
                <w:szCs w:val="22"/>
              </w:rPr>
            </w:pPr>
            <w:r w:rsidRPr="004A08EC">
              <w:rPr>
                <w:rFonts w:cs="Arial"/>
                <w:sz w:val="22"/>
                <w:szCs w:val="22"/>
              </w:rPr>
              <w:t>Experience in communicating with residents from a diverse background</w:t>
            </w:r>
          </w:p>
          <w:p w14:paraId="4E68947E" w14:textId="41BA8CA2" w:rsidR="00692D90" w:rsidRPr="004A08EC" w:rsidRDefault="007D22D8" w:rsidP="007D22D8">
            <w:pPr>
              <w:pStyle w:val="ListParagraph"/>
              <w:numPr>
                <w:ilvl w:val="0"/>
                <w:numId w:val="42"/>
              </w:numPr>
              <w:rPr>
                <w:rFonts w:cs="Arial"/>
                <w:sz w:val="22"/>
                <w:szCs w:val="22"/>
              </w:rPr>
            </w:pPr>
            <w:r w:rsidRPr="004A08EC">
              <w:rPr>
                <w:rFonts w:cs="Arial"/>
                <w:sz w:val="22"/>
                <w:szCs w:val="22"/>
              </w:rPr>
              <w:lastRenderedPageBreak/>
              <w:t>Experience of liaising with various contractors and trades for the purpose of completing repairs on site.</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5CE75A8B" w14:textId="12C910D4" w:rsidR="00692D90" w:rsidRPr="002B686A" w:rsidRDefault="002B686A" w:rsidP="002B686A">
            <w:pPr>
              <w:pStyle w:val="ListParagraph"/>
              <w:numPr>
                <w:ilvl w:val="0"/>
                <w:numId w:val="42"/>
              </w:numPr>
              <w:rPr>
                <w:rFonts w:cs="Arial"/>
                <w:sz w:val="22"/>
                <w:szCs w:val="22"/>
              </w:rPr>
            </w:pPr>
            <w:r w:rsidRPr="002B686A">
              <w:rPr>
                <w:rFonts w:cs="Arial"/>
                <w:sz w:val="22"/>
                <w:szCs w:val="22"/>
              </w:rPr>
              <w:lastRenderedPageBreak/>
              <w:t xml:space="preserve">Experience of managing a </w:t>
            </w:r>
            <w:proofErr w:type="gramStart"/>
            <w:r w:rsidR="00F12F04" w:rsidRPr="002B686A">
              <w:rPr>
                <w:rFonts w:cs="Arial"/>
                <w:sz w:val="22"/>
                <w:szCs w:val="22"/>
              </w:rPr>
              <w:t>direct</w:t>
            </w:r>
            <w:proofErr w:type="gramEnd"/>
            <w:r w:rsidRPr="002B686A">
              <w:rPr>
                <w:rFonts w:cs="Arial"/>
                <w:sz w:val="22"/>
                <w:szCs w:val="22"/>
              </w:rPr>
              <w:t xml:space="preserve"> employed maintenance team</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02410C28" w14:textId="41B925DE" w:rsidR="00C37D5C" w:rsidRDefault="00C37D5C" w:rsidP="007A42A0">
            <w:pPr>
              <w:pStyle w:val="ListParagraph"/>
              <w:numPr>
                <w:ilvl w:val="0"/>
                <w:numId w:val="40"/>
              </w:numPr>
              <w:rPr>
                <w:rFonts w:cs="Arial"/>
                <w:sz w:val="22"/>
                <w:szCs w:val="22"/>
              </w:rPr>
            </w:pPr>
            <w:r w:rsidRPr="007A42A0">
              <w:rPr>
                <w:rFonts w:cs="Arial"/>
                <w:sz w:val="22"/>
                <w:szCs w:val="22"/>
              </w:rPr>
              <w:t>Ability to investigate and diagnose repairs and instruct the relevant sub-contractor with Line Management authorisation</w:t>
            </w:r>
          </w:p>
          <w:p w14:paraId="76EE872B" w14:textId="7BA7BC0A" w:rsidR="00070A4A" w:rsidRPr="007A42A0" w:rsidRDefault="00070A4A" w:rsidP="007A42A0">
            <w:pPr>
              <w:pStyle w:val="ListParagraph"/>
              <w:numPr>
                <w:ilvl w:val="0"/>
                <w:numId w:val="40"/>
              </w:numPr>
              <w:rPr>
                <w:rFonts w:cs="Arial"/>
                <w:sz w:val="22"/>
                <w:szCs w:val="22"/>
              </w:rPr>
            </w:pPr>
            <w:r w:rsidRPr="00070A4A">
              <w:rPr>
                <w:rFonts w:cs="Arial"/>
                <w:sz w:val="22"/>
                <w:szCs w:val="22"/>
              </w:rPr>
              <w:t>Craft certificate or extensive experience within main trade; Carpentry, Plumbing, Electrical, Plastering, Bricklaying and tiling (wall and floor).</w:t>
            </w:r>
          </w:p>
          <w:p w14:paraId="147C126E" w14:textId="2FC1FB22" w:rsidR="00C37D5C" w:rsidRPr="007A42A0" w:rsidRDefault="00C37D5C" w:rsidP="007A42A0">
            <w:pPr>
              <w:pStyle w:val="ListParagraph"/>
              <w:numPr>
                <w:ilvl w:val="0"/>
                <w:numId w:val="40"/>
              </w:numPr>
              <w:rPr>
                <w:rFonts w:cs="Arial"/>
                <w:sz w:val="22"/>
                <w:szCs w:val="22"/>
              </w:rPr>
            </w:pPr>
            <w:r w:rsidRPr="007A42A0">
              <w:rPr>
                <w:rFonts w:cs="Arial"/>
                <w:sz w:val="22"/>
                <w:szCs w:val="22"/>
              </w:rPr>
              <w:t xml:space="preserve">Experience and knowledge </w:t>
            </w:r>
            <w:r w:rsidR="007A42A0" w:rsidRPr="007A42A0">
              <w:rPr>
                <w:rFonts w:cs="Arial"/>
                <w:sz w:val="22"/>
                <w:szCs w:val="22"/>
              </w:rPr>
              <w:t>about</w:t>
            </w:r>
            <w:r w:rsidRPr="007A42A0">
              <w:rPr>
                <w:rFonts w:cs="Arial"/>
                <w:sz w:val="22"/>
                <w:szCs w:val="22"/>
              </w:rPr>
              <w:t xml:space="preserve"> the Health and Safety requirements for residential and commercial properties</w:t>
            </w:r>
          </w:p>
          <w:p w14:paraId="010937E7" w14:textId="464A4EDB" w:rsidR="00692D90" w:rsidRPr="007A42A0" w:rsidRDefault="00C37D5C" w:rsidP="007A42A0">
            <w:pPr>
              <w:pStyle w:val="ListParagraph"/>
              <w:numPr>
                <w:ilvl w:val="0"/>
                <w:numId w:val="40"/>
              </w:numPr>
              <w:rPr>
                <w:rFonts w:cs="Arial"/>
                <w:sz w:val="22"/>
                <w:szCs w:val="22"/>
              </w:rPr>
            </w:pPr>
            <w:r w:rsidRPr="007A42A0">
              <w:rPr>
                <w:rFonts w:cs="Arial"/>
                <w:sz w:val="22"/>
                <w:szCs w:val="22"/>
              </w:rPr>
              <w:t>Competent use of hand and power tools to comply with Health and Safety regulations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CAB59F9" w14:textId="77777777" w:rsidR="002E5918" w:rsidRPr="003460C9" w:rsidRDefault="002E5918" w:rsidP="003460C9">
            <w:pPr>
              <w:pStyle w:val="ListParagraph"/>
              <w:numPr>
                <w:ilvl w:val="0"/>
                <w:numId w:val="40"/>
              </w:numPr>
              <w:rPr>
                <w:rFonts w:cs="Arial"/>
                <w:sz w:val="22"/>
                <w:szCs w:val="22"/>
              </w:rPr>
            </w:pPr>
            <w:r w:rsidRPr="003460C9">
              <w:rPr>
                <w:rFonts w:cs="Arial"/>
                <w:sz w:val="22"/>
                <w:szCs w:val="22"/>
              </w:rPr>
              <w:t>Various trade experience with certification</w:t>
            </w:r>
          </w:p>
          <w:p w14:paraId="24A77050" w14:textId="3F7D5689" w:rsidR="002E5918" w:rsidRPr="003460C9" w:rsidRDefault="002E5918" w:rsidP="003460C9">
            <w:pPr>
              <w:pStyle w:val="ListParagraph"/>
              <w:numPr>
                <w:ilvl w:val="0"/>
                <w:numId w:val="40"/>
              </w:numPr>
              <w:rPr>
                <w:rFonts w:cs="Arial"/>
                <w:sz w:val="22"/>
                <w:szCs w:val="22"/>
              </w:rPr>
            </w:pPr>
            <w:r w:rsidRPr="003460C9">
              <w:rPr>
                <w:rFonts w:cs="Arial"/>
                <w:sz w:val="22"/>
                <w:szCs w:val="22"/>
              </w:rPr>
              <w:t>Working knowledge of building plant and materials, fire safety equipment and their safe use within Health and Safety guidelines</w:t>
            </w:r>
          </w:p>
          <w:p w14:paraId="26C80046" w14:textId="77B62826" w:rsidR="00692D90" w:rsidRPr="003460C9" w:rsidRDefault="002E5918" w:rsidP="003460C9">
            <w:pPr>
              <w:pStyle w:val="ListParagraph"/>
              <w:numPr>
                <w:ilvl w:val="0"/>
                <w:numId w:val="40"/>
              </w:numPr>
              <w:rPr>
                <w:rFonts w:cs="Arial"/>
                <w:sz w:val="22"/>
                <w:szCs w:val="22"/>
              </w:rPr>
            </w:pPr>
            <w:r w:rsidRPr="003460C9">
              <w:rPr>
                <w:rFonts w:cs="Arial"/>
                <w:sz w:val="22"/>
                <w:szCs w:val="22"/>
              </w:rPr>
              <w:t>Managing Budgets</w:t>
            </w: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60F265B3" w14:textId="331F5007" w:rsidR="00B34D82" w:rsidRPr="006A4FE5" w:rsidRDefault="00C96117" w:rsidP="006A4FE5">
            <w:pPr>
              <w:pStyle w:val="ListParagraph"/>
              <w:numPr>
                <w:ilvl w:val="0"/>
                <w:numId w:val="43"/>
              </w:numPr>
              <w:rPr>
                <w:rFonts w:cs="Arial"/>
                <w:sz w:val="22"/>
                <w:szCs w:val="22"/>
              </w:rPr>
            </w:pPr>
            <w:r w:rsidRPr="006A4FE5">
              <w:rPr>
                <w:rFonts w:cs="Arial"/>
                <w:sz w:val="22"/>
                <w:szCs w:val="22"/>
              </w:rPr>
              <w:t>Effective time management skills with the ability to multi-task and use own initiative</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4A46DC37" w14:textId="00853532" w:rsidR="00B34D82" w:rsidRPr="0099293F" w:rsidRDefault="00320DD4" w:rsidP="0099293F">
            <w:pPr>
              <w:pStyle w:val="ListParagraph"/>
              <w:numPr>
                <w:ilvl w:val="0"/>
                <w:numId w:val="43"/>
              </w:numPr>
              <w:rPr>
                <w:rFonts w:cs="Arial"/>
                <w:sz w:val="22"/>
                <w:szCs w:val="22"/>
              </w:rPr>
            </w:pPr>
            <w:r w:rsidRPr="0099293F">
              <w:rPr>
                <w:rFonts w:cs="Arial"/>
                <w:sz w:val="22"/>
                <w:szCs w:val="22"/>
              </w:rPr>
              <w:t>Managerial Experience</w:t>
            </w: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58E07F1" w14:textId="396632ED" w:rsidR="00B34D82" w:rsidRPr="006A4FE5" w:rsidRDefault="00384D80" w:rsidP="006A4FE5">
            <w:pPr>
              <w:pStyle w:val="ListParagraph"/>
              <w:numPr>
                <w:ilvl w:val="0"/>
                <w:numId w:val="44"/>
              </w:numPr>
              <w:rPr>
                <w:rFonts w:cs="Arial"/>
                <w:sz w:val="22"/>
                <w:szCs w:val="22"/>
              </w:rPr>
            </w:pPr>
            <w:r w:rsidRPr="006A4FE5">
              <w:rPr>
                <w:rFonts w:cs="Arial"/>
                <w:sz w:val="22"/>
                <w:szCs w:val="22"/>
              </w:rPr>
              <w:t xml:space="preserve">Craft qualified (City and Guilds and/or equivalent </w:t>
            </w:r>
            <w:r w:rsidR="003D73ED" w:rsidRPr="006A4FE5">
              <w:rPr>
                <w:rFonts w:cs="Arial"/>
                <w:sz w:val="22"/>
                <w:szCs w:val="22"/>
              </w:rPr>
              <w:t>e.g.,</w:t>
            </w:r>
            <w:r w:rsidRPr="006A4FE5">
              <w:rPr>
                <w:rFonts w:cs="Arial"/>
                <w:sz w:val="22"/>
                <w:szCs w:val="22"/>
              </w:rPr>
              <w:t xml:space="preserve"> NVQ) in one or a range of trades; Carpentry, Plumbing, Electrical, </w:t>
            </w:r>
            <w:r w:rsidR="001A4D7F" w:rsidRPr="006A4FE5">
              <w:rPr>
                <w:rFonts w:cs="Arial"/>
                <w:sz w:val="22"/>
                <w:szCs w:val="22"/>
              </w:rPr>
              <w:t>Plastering</w:t>
            </w:r>
            <w:r w:rsidR="001A4D7F">
              <w:rPr>
                <w:rStyle w:val="CommentReference"/>
              </w:rPr>
              <w:t>,</w:t>
            </w:r>
            <w:r w:rsidR="001A4D7F" w:rsidRPr="006A4FE5">
              <w:rPr>
                <w:rFonts w:cs="Arial"/>
                <w:sz w:val="22"/>
                <w:szCs w:val="22"/>
              </w:rPr>
              <w:t xml:space="preserve"> </w:t>
            </w:r>
            <w:r w:rsidR="001A4D7F">
              <w:rPr>
                <w:rFonts w:cs="Arial"/>
                <w:sz w:val="22"/>
                <w:szCs w:val="22"/>
              </w:rPr>
              <w:t>Decorating</w:t>
            </w:r>
          </w:p>
        </w:tc>
        <w:tc>
          <w:tcPr>
            <w:tcW w:w="2550" w:type="pct"/>
            <w:tcBorders>
              <w:top w:val="outset" w:sz="6" w:space="0" w:color="auto"/>
              <w:left w:val="outset" w:sz="6" w:space="0" w:color="auto"/>
              <w:right w:val="outset" w:sz="6" w:space="0" w:color="auto"/>
            </w:tcBorders>
            <w:shd w:val="clear" w:color="auto" w:fill="auto"/>
          </w:tcPr>
          <w:p w14:paraId="5B4456D4" w14:textId="3D0568FE" w:rsidR="00710D85" w:rsidRPr="004A08EC" w:rsidRDefault="00710D85" w:rsidP="004A08EC">
            <w:pPr>
              <w:pStyle w:val="ListParagraph"/>
              <w:numPr>
                <w:ilvl w:val="0"/>
                <w:numId w:val="41"/>
              </w:numPr>
              <w:rPr>
                <w:rFonts w:cs="Arial"/>
                <w:sz w:val="22"/>
                <w:szCs w:val="22"/>
              </w:rPr>
            </w:pPr>
            <w:r w:rsidRPr="004A08EC">
              <w:rPr>
                <w:rFonts w:cs="Arial"/>
                <w:sz w:val="22"/>
                <w:szCs w:val="22"/>
              </w:rPr>
              <w:t>Health and safety qualification NEBOSH</w:t>
            </w:r>
          </w:p>
          <w:p w14:paraId="67C3E83E" w14:textId="0C5DFCAC" w:rsidR="00710D85" w:rsidRPr="004A08EC" w:rsidRDefault="00710D85" w:rsidP="004A08EC">
            <w:pPr>
              <w:pStyle w:val="ListParagraph"/>
              <w:numPr>
                <w:ilvl w:val="0"/>
                <w:numId w:val="41"/>
              </w:numPr>
              <w:rPr>
                <w:rFonts w:cs="Arial"/>
                <w:sz w:val="22"/>
                <w:szCs w:val="22"/>
              </w:rPr>
            </w:pPr>
            <w:r w:rsidRPr="004A08EC">
              <w:rPr>
                <w:rFonts w:cs="Arial"/>
                <w:sz w:val="22"/>
                <w:szCs w:val="22"/>
              </w:rPr>
              <w:t>Membership of IOSH</w:t>
            </w:r>
          </w:p>
          <w:p w14:paraId="61B17B92" w14:textId="4D7C6312" w:rsidR="00710D85" w:rsidRPr="004A08EC" w:rsidRDefault="00710D85" w:rsidP="004A08EC">
            <w:pPr>
              <w:pStyle w:val="ListParagraph"/>
              <w:numPr>
                <w:ilvl w:val="0"/>
                <w:numId w:val="41"/>
              </w:numPr>
              <w:rPr>
                <w:rFonts w:cs="Arial"/>
                <w:sz w:val="22"/>
                <w:szCs w:val="22"/>
              </w:rPr>
            </w:pPr>
            <w:r w:rsidRPr="004A08EC">
              <w:rPr>
                <w:rFonts w:cs="Arial"/>
                <w:sz w:val="22"/>
                <w:szCs w:val="22"/>
              </w:rPr>
              <w:t>Membership BFIM</w:t>
            </w:r>
          </w:p>
          <w:p w14:paraId="235C42B3" w14:textId="6A842124" w:rsidR="00710D85" w:rsidRPr="004A08EC" w:rsidRDefault="00710D85" w:rsidP="004A08EC">
            <w:pPr>
              <w:pStyle w:val="ListParagraph"/>
              <w:numPr>
                <w:ilvl w:val="0"/>
                <w:numId w:val="41"/>
              </w:numPr>
              <w:rPr>
                <w:rFonts w:cs="Arial"/>
                <w:sz w:val="22"/>
                <w:szCs w:val="22"/>
              </w:rPr>
            </w:pPr>
            <w:r w:rsidRPr="004A08EC">
              <w:rPr>
                <w:rFonts w:cs="Arial"/>
                <w:sz w:val="22"/>
                <w:szCs w:val="22"/>
              </w:rPr>
              <w:t xml:space="preserve">Relevant technical qualifications </w:t>
            </w:r>
          </w:p>
          <w:p w14:paraId="71B3E2B2" w14:textId="74AF0610" w:rsidR="00B34D82" w:rsidRPr="004A08EC" w:rsidRDefault="00710D85" w:rsidP="004A08EC">
            <w:pPr>
              <w:pStyle w:val="ListParagraph"/>
              <w:numPr>
                <w:ilvl w:val="0"/>
                <w:numId w:val="41"/>
              </w:numPr>
              <w:rPr>
                <w:rFonts w:cs="Arial"/>
                <w:sz w:val="22"/>
                <w:szCs w:val="22"/>
              </w:rPr>
            </w:pPr>
            <w:r w:rsidRPr="004A08EC">
              <w:rPr>
                <w:rFonts w:cs="Arial"/>
                <w:sz w:val="22"/>
                <w:szCs w:val="22"/>
              </w:rPr>
              <w:t>CSCS registered</w:t>
            </w: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Default="003C18E1" w:rsidP="008809D4">
            <w:pPr>
              <w:rPr>
                <w:rFonts w:cs="Arial"/>
                <w:sz w:val="22"/>
                <w:szCs w:val="22"/>
                <w:lang w:eastAsia="en-GB"/>
              </w:rPr>
            </w:pPr>
          </w:p>
          <w:p w14:paraId="50352683" w14:textId="3FCC1F2B" w:rsidR="00616BB7" w:rsidRDefault="003C18E1" w:rsidP="008809D4">
            <w:pPr>
              <w:rPr>
                <w:rFonts w:cs="Arial"/>
                <w:sz w:val="22"/>
                <w:szCs w:val="22"/>
                <w:lang w:eastAsia="en-GB"/>
              </w:rPr>
            </w:pPr>
            <w:r>
              <w:rPr>
                <w:rFonts w:cs="Arial"/>
                <w:sz w:val="22"/>
                <w:szCs w:val="22"/>
                <w:lang w:eastAsia="en-GB"/>
              </w:rPr>
              <w:t>Th</w:t>
            </w:r>
            <w:r w:rsidR="00C72A7A">
              <w:rPr>
                <w:rFonts w:cs="Arial"/>
                <w:sz w:val="22"/>
                <w:szCs w:val="22"/>
                <w:lang w:eastAsia="en-GB"/>
              </w:rPr>
              <w:t>is</w:t>
            </w:r>
            <w:r>
              <w:rPr>
                <w:rFonts w:cs="Arial"/>
                <w:sz w:val="22"/>
                <w:szCs w:val="22"/>
                <w:lang w:eastAsia="en-GB"/>
              </w:rPr>
              <w:t xml:space="preserve"> role is a </w:t>
            </w:r>
            <w:r w:rsidR="00783F16" w:rsidRPr="00783F16">
              <w:rPr>
                <w:rFonts w:cs="Arial"/>
                <w:b/>
                <w:bCs/>
                <w:sz w:val="22"/>
                <w:szCs w:val="22"/>
                <w:lang w:eastAsia="en-GB"/>
              </w:rPr>
              <w:t>Colleague</w:t>
            </w:r>
            <w:r w:rsidR="00C72A7A" w:rsidRPr="00783F16">
              <w:rPr>
                <w:rFonts w:cs="Arial"/>
                <w:b/>
                <w:bCs/>
                <w:sz w:val="22"/>
                <w:szCs w:val="22"/>
                <w:lang w:eastAsia="en-GB"/>
              </w:rPr>
              <w:t xml:space="preserve"> </w:t>
            </w:r>
            <w:r w:rsidR="00C72A7A">
              <w:rPr>
                <w:rFonts w:cs="Arial"/>
                <w:sz w:val="22"/>
                <w:szCs w:val="22"/>
                <w:lang w:eastAsia="en-GB"/>
              </w:rPr>
              <w:t xml:space="preserve">expectation level and therefore you should refer to the </w:t>
            </w:r>
            <w:r w:rsidR="00783F16" w:rsidRPr="00783F16">
              <w:rPr>
                <w:rFonts w:cs="Arial"/>
                <w:b/>
                <w:bCs/>
                <w:sz w:val="22"/>
                <w:szCs w:val="22"/>
                <w:lang w:eastAsia="en-GB"/>
              </w:rPr>
              <w:t>Colleague</w:t>
            </w:r>
            <w:r w:rsidR="00ED2631" w:rsidRPr="00783F16">
              <w:rPr>
                <w:rFonts w:cs="Arial"/>
                <w:b/>
                <w:bCs/>
                <w:sz w:val="22"/>
                <w:szCs w:val="22"/>
                <w:lang w:eastAsia="en-GB"/>
              </w:rPr>
              <w:t xml:space="preserve"> </w:t>
            </w:r>
            <w:r w:rsidR="00C72A7A">
              <w:rPr>
                <w:rFonts w:cs="Arial"/>
                <w:sz w:val="22"/>
                <w:szCs w:val="22"/>
                <w:lang w:eastAsia="en-GB"/>
              </w:rPr>
              <w:t>expectation 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41"/>
        <w:gridCol w:w="8003"/>
      </w:tblGrid>
      <w:tr w:rsidR="001331AE" w:rsidRPr="003B6F57" w14:paraId="37921BA5" w14:textId="77777777" w:rsidTr="00426035">
        <w:trPr>
          <w:tblCellSpacing w:w="20" w:type="dxa"/>
        </w:trPr>
        <w:tc>
          <w:tcPr>
            <w:tcW w:w="4962" w:type="pct"/>
            <w:gridSpan w:val="2"/>
            <w:shd w:val="clear" w:color="auto" w:fill="808080" w:themeFill="background1" w:themeFillShade="80"/>
          </w:tcPr>
          <w:p w14:paraId="1F9BD048" w14:textId="506B2A90" w:rsidR="001331AE" w:rsidRPr="003B6F57" w:rsidRDefault="00D679F7" w:rsidP="005C7264">
            <w:pPr>
              <w:spacing w:after="60"/>
              <w:rPr>
                <w:rFonts w:cs="Arial"/>
                <w:b/>
                <w:color w:val="F2F2F2" w:themeColor="background1" w:themeShade="F2"/>
                <w:sz w:val="22"/>
                <w:szCs w:val="22"/>
              </w:rPr>
            </w:pPr>
            <w:r>
              <w:rPr>
                <w:rFonts w:cs="Arial"/>
                <w:b/>
                <w:color w:val="F2F2F2" w:themeColor="background1" w:themeShade="F2"/>
              </w:rPr>
              <w:t>Safeguarding</w:t>
            </w:r>
            <w:r w:rsidR="00F10505">
              <w:rPr>
                <w:rFonts w:cs="Arial"/>
                <w:b/>
                <w:color w:val="F2F2F2" w:themeColor="background1" w:themeShade="F2"/>
              </w:rPr>
              <w:t xml:space="preserve"> </w:t>
            </w:r>
          </w:p>
        </w:tc>
      </w:tr>
      <w:tr w:rsidR="00F10505" w:rsidRPr="002871E4" w14:paraId="43F2A5AE" w14:textId="77777777" w:rsidTr="00783F16">
        <w:trPr>
          <w:tblCellSpacing w:w="20" w:type="dxa"/>
        </w:trPr>
        <w:tc>
          <w:tcPr>
            <w:tcW w:w="1144" w:type="pct"/>
            <w:shd w:val="clear" w:color="auto" w:fill="auto"/>
          </w:tcPr>
          <w:p w14:paraId="7B3B5956" w14:textId="6DC79D6F" w:rsidR="00F10505" w:rsidRPr="00D35D9C" w:rsidRDefault="00CA5A0E" w:rsidP="005C7264">
            <w:pPr>
              <w:spacing w:after="60"/>
              <w:rPr>
                <w:rFonts w:cs="Arial"/>
                <w:b/>
                <w:sz w:val="22"/>
                <w:szCs w:val="22"/>
              </w:rPr>
            </w:pPr>
            <w:r w:rsidRPr="00D35D9C">
              <w:rPr>
                <w:sz w:val="22"/>
                <w:szCs w:val="22"/>
              </w:rPr>
              <w:t xml:space="preserve">Any </w:t>
            </w:r>
            <w:r w:rsidR="00F10505" w:rsidRPr="00D35D9C">
              <w:rPr>
                <w:sz w:val="22"/>
                <w:szCs w:val="22"/>
              </w:rPr>
              <w:t xml:space="preserve">appointment to this post is </w:t>
            </w:r>
            <w:r w:rsidR="00F10505" w:rsidRPr="00D35D9C">
              <w:rPr>
                <w:sz w:val="22"/>
                <w:szCs w:val="22"/>
              </w:rPr>
              <w:lastRenderedPageBreak/>
              <w:t xml:space="preserve">conditional upon and subject to: </w:t>
            </w:r>
          </w:p>
        </w:tc>
        <w:tc>
          <w:tcPr>
            <w:tcW w:w="3799" w:type="pct"/>
            <w:shd w:val="clear" w:color="auto" w:fill="auto"/>
          </w:tcPr>
          <w:p w14:paraId="2EDF34A0" w14:textId="614BC8A2" w:rsidR="00F10505" w:rsidRPr="00D35D9C" w:rsidRDefault="00783F16" w:rsidP="00783F16">
            <w:pPr>
              <w:spacing w:before="100" w:beforeAutospacing="1" w:after="100" w:afterAutospacing="1"/>
              <w:rPr>
                <w:rFonts w:cs="Arial"/>
                <w:i/>
                <w:iCs/>
                <w:sz w:val="22"/>
                <w:szCs w:val="22"/>
              </w:rPr>
            </w:pPr>
            <w:r w:rsidRPr="00D35D9C">
              <w:rPr>
                <w:sz w:val="22"/>
                <w:szCs w:val="22"/>
              </w:rPr>
              <w:lastRenderedPageBreak/>
              <w:t>B</w:t>
            </w:r>
            <w:r w:rsidR="00F10505" w:rsidRPr="00D35D9C">
              <w:rPr>
                <w:sz w:val="22"/>
                <w:szCs w:val="22"/>
              </w:rPr>
              <w:t xml:space="preserve">asic certificate (criminal record check) issued by the Disclosure and Barring Service (DBS) </w:t>
            </w:r>
          </w:p>
        </w:tc>
      </w:tr>
    </w:tbl>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B9D9" w14:textId="77777777" w:rsidR="004226BA" w:rsidRDefault="004226BA">
      <w:r>
        <w:separator/>
      </w:r>
    </w:p>
  </w:endnote>
  <w:endnote w:type="continuationSeparator" w:id="0">
    <w:p w14:paraId="7E1AAD23" w14:textId="77777777" w:rsidR="004226BA" w:rsidRDefault="0042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4ADC681F" w:rsidR="00E53544" w:rsidRDefault="00B30F7E" w:rsidP="00B30F7E">
            <w:pPr>
              <w:pStyle w:val="Footer"/>
              <w:jc w:val="center"/>
            </w:pPr>
            <w:r>
              <w:tab/>
            </w:r>
            <w:r w:rsidR="003D73ED" w:rsidRPr="003D73ED">
              <w:t>May</w:t>
            </w:r>
            <w:r w:rsidR="007C20B1" w:rsidRPr="003D73ED">
              <w:t xml:space="preserve"> 2022</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F11E" w14:textId="77777777" w:rsidR="004226BA" w:rsidRDefault="004226BA">
      <w:r>
        <w:separator/>
      </w:r>
    </w:p>
  </w:footnote>
  <w:footnote w:type="continuationSeparator" w:id="0">
    <w:p w14:paraId="634D3EC6" w14:textId="77777777" w:rsidR="004226BA" w:rsidRDefault="0042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15832"/>
    <w:multiLevelType w:val="hybridMultilevel"/>
    <w:tmpl w:val="0560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2945"/>
    <w:multiLevelType w:val="hybridMultilevel"/>
    <w:tmpl w:val="053AFB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75AD5"/>
    <w:multiLevelType w:val="hybridMultilevel"/>
    <w:tmpl w:val="445C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E7D86"/>
    <w:multiLevelType w:val="hybridMultilevel"/>
    <w:tmpl w:val="844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C0E0C"/>
    <w:multiLevelType w:val="hybridMultilevel"/>
    <w:tmpl w:val="2E66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4106F"/>
    <w:multiLevelType w:val="hybridMultilevel"/>
    <w:tmpl w:val="2C0A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F2BB3"/>
    <w:multiLevelType w:val="hybridMultilevel"/>
    <w:tmpl w:val="79CC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67763D"/>
    <w:multiLevelType w:val="hybridMultilevel"/>
    <w:tmpl w:val="E5B2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707F6"/>
    <w:multiLevelType w:val="hybridMultilevel"/>
    <w:tmpl w:val="309A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8"/>
  </w:num>
  <w:num w:numId="4">
    <w:abstractNumId w:val="22"/>
  </w:num>
  <w:num w:numId="5">
    <w:abstractNumId w:val="29"/>
  </w:num>
  <w:num w:numId="6">
    <w:abstractNumId w:val="28"/>
  </w:num>
  <w:num w:numId="7">
    <w:abstractNumId w:val="26"/>
  </w:num>
  <w:num w:numId="8">
    <w:abstractNumId w:val="38"/>
  </w:num>
  <w:num w:numId="9">
    <w:abstractNumId w:val="25"/>
  </w:num>
  <w:num w:numId="10">
    <w:abstractNumId w:val="32"/>
  </w:num>
  <w:num w:numId="11">
    <w:abstractNumId w:val="35"/>
  </w:num>
  <w:num w:numId="12">
    <w:abstractNumId w:val="40"/>
  </w:num>
  <w:num w:numId="13">
    <w:abstractNumId w:val="34"/>
  </w:num>
  <w:num w:numId="14">
    <w:abstractNumId w:val="33"/>
  </w:num>
  <w:num w:numId="15">
    <w:abstractNumId w:val="36"/>
  </w:num>
  <w:num w:numId="16">
    <w:abstractNumId w:val="15"/>
  </w:num>
  <w:num w:numId="17">
    <w:abstractNumId w:val="19"/>
  </w:num>
  <w:num w:numId="18">
    <w:abstractNumId w:val="10"/>
  </w:num>
  <w:num w:numId="19">
    <w:abstractNumId w:val="24"/>
  </w:num>
  <w:num w:numId="20">
    <w:abstractNumId w:val="39"/>
  </w:num>
  <w:num w:numId="21">
    <w:abstractNumId w:val="3"/>
  </w:num>
  <w:num w:numId="22">
    <w:abstractNumId w:val="7"/>
  </w:num>
  <w:num w:numId="23">
    <w:abstractNumId w:val="13"/>
  </w:num>
  <w:num w:numId="24">
    <w:abstractNumId w:val="5"/>
  </w:num>
  <w:num w:numId="25">
    <w:abstractNumId w:val="0"/>
  </w:num>
  <w:num w:numId="26">
    <w:abstractNumId w:val="43"/>
  </w:num>
  <w:num w:numId="27">
    <w:abstractNumId w:val="21"/>
  </w:num>
  <w:num w:numId="28">
    <w:abstractNumId w:val="20"/>
  </w:num>
  <w:num w:numId="29">
    <w:abstractNumId w:val="9"/>
  </w:num>
  <w:num w:numId="30">
    <w:abstractNumId w:val="12"/>
  </w:num>
  <w:num w:numId="31">
    <w:abstractNumId w:val="23"/>
  </w:num>
  <w:num w:numId="32">
    <w:abstractNumId w:val="27"/>
  </w:num>
  <w:num w:numId="33">
    <w:abstractNumId w:val="31"/>
  </w:num>
  <w:num w:numId="34">
    <w:abstractNumId w:val="11"/>
  </w:num>
  <w:num w:numId="35">
    <w:abstractNumId w:val="2"/>
  </w:num>
  <w:num w:numId="36">
    <w:abstractNumId w:val="8"/>
  </w:num>
  <w:num w:numId="37">
    <w:abstractNumId w:val="16"/>
  </w:num>
  <w:num w:numId="38">
    <w:abstractNumId w:val="37"/>
  </w:num>
  <w:num w:numId="39">
    <w:abstractNumId w:val="17"/>
  </w:num>
  <w:num w:numId="40">
    <w:abstractNumId w:val="6"/>
  </w:num>
  <w:num w:numId="41">
    <w:abstractNumId w:val="42"/>
  </w:num>
  <w:num w:numId="42">
    <w:abstractNumId w:val="41"/>
  </w:num>
  <w:num w:numId="43">
    <w:abstractNumId w:val="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347E"/>
    <w:rsid w:val="000041C8"/>
    <w:rsid w:val="00017270"/>
    <w:rsid w:val="00017A81"/>
    <w:rsid w:val="00021151"/>
    <w:rsid w:val="00022D5C"/>
    <w:rsid w:val="00030AF8"/>
    <w:rsid w:val="00033BA8"/>
    <w:rsid w:val="00035D70"/>
    <w:rsid w:val="00070A4A"/>
    <w:rsid w:val="00093179"/>
    <w:rsid w:val="000A2711"/>
    <w:rsid w:val="000B0CA6"/>
    <w:rsid w:val="000B29CB"/>
    <w:rsid w:val="000C0615"/>
    <w:rsid w:val="000C492F"/>
    <w:rsid w:val="000D37DB"/>
    <w:rsid w:val="000D4B3F"/>
    <w:rsid w:val="000E45A6"/>
    <w:rsid w:val="000E6C81"/>
    <w:rsid w:val="000F6F94"/>
    <w:rsid w:val="00122BDD"/>
    <w:rsid w:val="001250DB"/>
    <w:rsid w:val="001331AE"/>
    <w:rsid w:val="001444C5"/>
    <w:rsid w:val="00144690"/>
    <w:rsid w:val="001511A6"/>
    <w:rsid w:val="00153FDB"/>
    <w:rsid w:val="00167FF4"/>
    <w:rsid w:val="00175BB5"/>
    <w:rsid w:val="0019359E"/>
    <w:rsid w:val="00194BB5"/>
    <w:rsid w:val="001A2CC1"/>
    <w:rsid w:val="001A4D7F"/>
    <w:rsid w:val="001C21D0"/>
    <w:rsid w:val="001E76D5"/>
    <w:rsid w:val="00214817"/>
    <w:rsid w:val="0021614B"/>
    <w:rsid w:val="00227C0D"/>
    <w:rsid w:val="0024102B"/>
    <w:rsid w:val="002511B7"/>
    <w:rsid w:val="00252D5C"/>
    <w:rsid w:val="002536AC"/>
    <w:rsid w:val="00266069"/>
    <w:rsid w:val="0027624B"/>
    <w:rsid w:val="002871E4"/>
    <w:rsid w:val="00287EAA"/>
    <w:rsid w:val="0029737C"/>
    <w:rsid w:val="00297B5C"/>
    <w:rsid w:val="002B686A"/>
    <w:rsid w:val="002C6E63"/>
    <w:rsid w:val="002E2781"/>
    <w:rsid w:val="002E4467"/>
    <w:rsid w:val="002E4E4D"/>
    <w:rsid w:val="002E5918"/>
    <w:rsid w:val="002E65E7"/>
    <w:rsid w:val="002F40E8"/>
    <w:rsid w:val="003203BB"/>
    <w:rsid w:val="00320DD4"/>
    <w:rsid w:val="00320E96"/>
    <w:rsid w:val="00332AB1"/>
    <w:rsid w:val="003460C9"/>
    <w:rsid w:val="00347112"/>
    <w:rsid w:val="003537B2"/>
    <w:rsid w:val="00356548"/>
    <w:rsid w:val="003626C8"/>
    <w:rsid w:val="0036708F"/>
    <w:rsid w:val="00372FC9"/>
    <w:rsid w:val="00383310"/>
    <w:rsid w:val="00384D80"/>
    <w:rsid w:val="0039145F"/>
    <w:rsid w:val="00391CA8"/>
    <w:rsid w:val="003B6F57"/>
    <w:rsid w:val="003C10F8"/>
    <w:rsid w:val="003C18E1"/>
    <w:rsid w:val="003C6B88"/>
    <w:rsid w:val="003C76E9"/>
    <w:rsid w:val="003D2957"/>
    <w:rsid w:val="003D50B6"/>
    <w:rsid w:val="003D73ED"/>
    <w:rsid w:val="003E3540"/>
    <w:rsid w:val="003F5381"/>
    <w:rsid w:val="003F62FB"/>
    <w:rsid w:val="00406C4E"/>
    <w:rsid w:val="004136AC"/>
    <w:rsid w:val="0041691F"/>
    <w:rsid w:val="004226BA"/>
    <w:rsid w:val="004233A7"/>
    <w:rsid w:val="00426035"/>
    <w:rsid w:val="00433144"/>
    <w:rsid w:val="00444FB8"/>
    <w:rsid w:val="0044597D"/>
    <w:rsid w:val="004547CB"/>
    <w:rsid w:val="004630F1"/>
    <w:rsid w:val="00497CFD"/>
    <w:rsid w:val="004A08EC"/>
    <w:rsid w:val="004E14F9"/>
    <w:rsid w:val="004F2BF9"/>
    <w:rsid w:val="005016AA"/>
    <w:rsid w:val="0050398C"/>
    <w:rsid w:val="00511E8E"/>
    <w:rsid w:val="005532DF"/>
    <w:rsid w:val="005546F2"/>
    <w:rsid w:val="00557116"/>
    <w:rsid w:val="005678B5"/>
    <w:rsid w:val="005A647B"/>
    <w:rsid w:val="005A6EBA"/>
    <w:rsid w:val="005B2B31"/>
    <w:rsid w:val="005B4673"/>
    <w:rsid w:val="005B58AA"/>
    <w:rsid w:val="005C1BAE"/>
    <w:rsid w:val="005C7326"/>
    <w:rsid w:val="005D5D70"/>
    <w:rsid w:val="00607D70"/>
    <w:rsid w:val="00616BB7"/>
    <w:rsid w:val="006443D7"/>
    <w:rsid w:val="00663AB9"/>
    <w:rsid w:val="00665310"/>
    <w:rsid w:val="00681E46"/>
    <w:rsid w:val="006831C9"/>
    <w:rsid w:val="006867BB"/>
    <w:rsid w:val="00692D90"/>
    <w:rsid w:val="0069725C"/>
    <w:rsid w:val="006A0C09"/>
    <w:rsid w:val="006A4FE5"/>
    <w:rsid w:val="006B191C"/>
    <w:rsid w:val="006B34CF"/>
    <w:rsid w:val="006D2F80"/>
    <w:rsid w:val="006D73B1"/>
    <w:rsid w:val="006E3840"/>
    <w:rsid w:val="00701000"/>
    <w:rsid w:val="007049DD"/>
    <w:rsid w:val="00710D85"/>
    <w:rsid w:val="00713A36"/>
    <w:rsid w:val="0072135D"/>
    <w:rsid w:val="0073007A"/>
    <w:rsid w:val="00747143"/>
    <w:rsid w:val="00782EDD"/>
    <w:rsid w:val="00783F16"/>
    <w:rsid w:val="00791820"/>
    <w:rsid w:val="007919A2"/>
    <w:rsid w:val="00792A9B"/>
    <w:rsid w:val="00794C18"/>
    <w:rsid w:val="00794EC6"/>
    <w:rsid w:val="00796B79"/>
    <w:rsid w:val="007A42A0"/>
    <w:rsid w:val="007C10C0"/>
    <w:rsid w:val="007C20B1"/>
    <w:rsid w:val="007C20C2"/>
    <w:rsid w:val="007C78C8"/>
    <w:rsid w:val="007D22D8"/>
    <w:rsid w:val="007D686F"/>
    <w:rsid w:val="007E5801"/>
    <w:rsid w:val="007F451A"/>
    <w:rsid w:val="008075EA"/>
    <w:rsid w:val="0081396F"/>
    <w:rsid w:val="00817CEF"/>
    <w:rsid w:val="00826187"/>
    <w:rsid w:val="00850DC1"/>
    <w:rsid w:val="00862608"/>
    <w:rsid w:val="008752CF"/>
    <w:rsid w:val="008809D4"/>
    <w:rsid w:val="008863C2"/>
    <w:rsid w:val="008B12DE"/>
    <w:rsid w:val="008C6DEC"/>
    <w:rsid w:val="008E40B8"/>
    <w:rsid w:val="008E6394"/>
    <w:rsid w:val="008E687C"/>
    <w:rsid w:val="00903E1A"/>
    <w:rsid w:val="0090526B"/>
    <w:rsid w:val="009069E3"/>
    <w:rsid w:val="00922D53"/>
    <w:rsid w:val="00933F6F"/>
    <w:rsid w:val="009625BE"/>
    <w:rsid w:val="009651D9"/>
    <w:rsid w:val="00967F84"/>
    <w:rsid w:val="009721E6"/>
    <w:rsid w:val="009779FC"/>
    <w:rsid w:val="00977D19"/>
    <w:rsid w:val="0098237F"/>
    <w:rsid w:val="00986FCE"/>
    <w:rsid w:val="00987736"/>
    <w:rsid w:val="009919C2"/>
    <w:rsid w:val="0099293F"/>
    <w:rsid w:val="009B244B"/>
    <w:rsid w:val="009C10B4"/>
    <w:rsid w:val="009C178B"/>
    <w:rsid w:val="009C3FF6"/>
    <w:rsid w:val="009F406B"/>
    <w:rsid w:val="00A07F71"/>
    <w:rsid w:val="00A50FDE"/>
    <w:rsid w:val="00A555F0"/>
    <w:rsid w:val="00A72510"/>
    <w:rsid w:val="00A862ED"/>
    <w:rsid w:val="00A90E9D"/>
    <w:rsid w:val="00A92290"/>
    <w:rsid w:val="00A92D3E"/>
    <w:rsid w:val="00A954DD"/>
    <w:rsid w:val="00AA2DBA"/>
    <w:rsid w:val="00AB3858"/>
    <w:rsid w:val="00AB4FF3"/>
    <w:rsid w:val="00AD4B34"/>
    <w:rsid w:val="00AE61C0"/>
    <w:rsid w:val="00AF5864"/>
    <w:rsid w:val="00B15F1B"/>
    <w:rsid w:val="00B23172"/>
    <w:rsid w:val="00B30630"/>
    <w:rsid w:val="00B30F7E"/>
    <w:rsid w:val="00B34D82"/>
    <w:rsid w:val="00B42EAE"/>
    <w:rsid w:val="00B46453"/>
    <w:rsid w:val="00B504C7"/>
    <w:rsid w:val="00B63370"/>
    <w:rsid w:val="00B634EF"/>
    <w:rsid w:val="00B71421"/>
    <w:rsid w:val="00B77076"/>
    <w:rsid w:val="00B815B0"/>
    <w:rsid w:val="00B92496"/>
    <w:rsid w:val="00BB04F7"/>
    <w:rsid w:val="00BB6F5B"/>
    <w:rsid w:val="00BC3C95"/>
    <w:rsid w:val="00BC5547"/>
    <w:rsid w:val="00BC62FA"/>
    <w:rsid w:val="00BD3F7C"/>
    <w:rsid w:val="00BD4C99"/>
    <w:rsid w:val="00BF0B30"/>
    <w:rsid w:val="00BF0B84"/>
    <w:rsid w:val="00C17D25"/>
    <w:rsid w:val="00C37D5C"/>
    <w:rsid w:val="00C43C38"/>
    <w:rsid w:val="00C452CD"/>
    <w:rsid w:val="00C47E6B"/>
    <w:rsid w:val="00C51867"/>
    <w:rsid w:val="00C623FB"/>
    <w:rsid w:val="00C72A7A"/>
    <w:rsid w:val="00C7525E"/>
    <w:rsid w:val="00C804D0"/>
    <w:rsid w:val="00C861C6"/>
    <w:rsid w:val="00C9577B"/>
    <w:rsid w:val="00C96117"/>
    <w:rsid w:val="00C97A6B"/>
    <w:rsid w:val="00C97F8B"/>
    <w:rsid w:val="00CA5A0E"/>
    <w:rsid w:val="00CB1B37"/>
    <w:rsid w:val="00CC0179"/>
    <w:rsid w:val="00CC3165"/>
    <w:rsid w:val="00D01B51"/>
    <w:rsid w:val="00D04151"/>
    <w:rsid w:val="00D11ECB"/>
    <w:rsid w:val="00D149A1"/>
    <w:rsid w:val="00D15045"/>
    <w:rsid w:val="00D2727B"/>
    <w:rsid w:val="00D311A8"/>
    <w:rsid w:val="00D35D9C"/>
    <w:rsid w:val="00D40049"/>
    <w:rsid w:val="00D43488"/>
    <w:rsid w:val="00D4506D"/>
    <w:rsid w:val="00D50722"/>
    <w:rsid w:val="00D53E71"/>
    <w:rsid w:val="00D679F7"/>
    <w:rsid w:val="00D72E77"/>
    <w:rsid w:val="00D73F27"/>
    <w:rsid w:val="00D923F9"/>
    <w:rsid w:val="00DD0FC9"/>
    <w:rsid w:val="00DD6A3D"/>
    <w:rsid w:val="00DE4E07"/>
    <w:rsid w:val="00DE6CF7"/>
    <w:rsid w:val="00DF587A"/>
    <w:rsid w:val="00E32669"/>
    <w:rsid w:val="00E53544"/>
    <w:rsid w:val="00E700F4"/>
    <w:rsid w:val="00E733EC"/>
    <w:rsid w:val="00E86C66"/>
    <w:rsid w:val="00EB01C4"/>
    <w:rsid w:val="00EB4596"/>
    <w:rsid w:val="00EB53FE"/>
    <w:rsid w:val="00EC0295"/>
    <w:rsid w:val="00EC2D65"/>
    <w:rsid w:val="00ED2631"/>
    <w:rsid w:val="00EE0BFC"/>
    <w:rsid w:val="00EE2ADA"/>
    <w:rsid w:val="00EE7DF4"/>
    <w:rsid w:val="00F01A50"/>
    <w:rsid w:val="00F0384E"/>
    <w:rsid w:val="00F10505"/>
    <w:rsid w:val="00F12F04"/>
    <w:rsid w:val="00F27C0B"/>
    <w:rsid w:val="00F403D6"/>
    <w:rsid w:val="00F65A55"/>
    <w:rsid w:val="00F70565"/>
    <w:rsid w:val="00F740AA"/>
    <w:rsid w:val="00F75F07"/>
    <w:rsid w:val="00F76029"/>
    <w:rsid w:val="00FA49E2"/>
    <w:rsid w:val="00FB12FE"/>
    <w:rsid w:val="00FB40DA"/>
    <w:rsid w:val="00FE373B"/>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8" ma:contentTypeDescription="Create a new document." ma:contentTypeScope="" ma:versionID="b7e30cd89f5dc3c7a93382bcd848f3c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dacf45b35b98452cc8ad21ebe874479f"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3.xml><?xml version="1.0" encoding="utf-8"?>
<ds:datastoreItem xmlns:ds="http://schemas.openxmlformats.org/officeDocument/2006/customXml" ds:itemID="{757B09F8-D883-4A25-9A65-F0F3B890166C}"/>
</file>

<file path=customXml/itemProps4.xml><?xml version="1.0" encoding="utf-8"?>
<ds:datastoreItem xmlns:ds="http://schemas.openxmlformats.org/officeDocument/2006/customXml" ds:itemID="{D4AD3000-61D8-4243-8E4F-9FC53F262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Sarah Skipp</cp:lastModifiedBy>
  <cp:revision>2</cp:revision>
  <cp:lastPrinted>2021-06-16T13:47:00Z</cp:lastPrinted>
  <dcterms:created xsi:type="dcterms:W3CDTF">2022-05-20T15:43:00Z</dcterms:created>
  <dcterms:modified xsi:type="dcterms:W3CDTF">2022-05-20T15:43:00Z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ies>
</file>